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052C7" w14:textId="40734B41" w:rsidR="00AE6A3E" w:rsidRPr="006D26BB" w:rsidRDefault="00AE6A3E" w:rsidP="0047121F">
      <w:pPr>
        <w:spacing w:after="0" w:line="240" w:lineRule="auto"/>
        <w:jc w:val="both"/>
        <w:rPr>
          <w:rFonts w:asciiTheme="minorHAnsi" w:hAnsiTheme="minorHAnsi" w:cstheme="minorHAnsi"/>
          <w:bCs/>
          <w:sz w:val="20"/>
          <w:szCs w:val="20"/>
        </w:rPr>
      </w:pPr>
      <w:r w:rsidRPr="006D26BB">
        <w:rPr>
          <w:rFonts w:asciiTheme="minorHAnsi" w:hAnsiTheme="minorHAnsi" w:cstheme="minorHAnsi"/>
          <w:b/>
          <w:sz w:val="20"/>
          <w:szCs w:val="20"/>
        </w:rPr>
        <w:t xml:space="preserve">29 </w:t>
      </w:r>
      <w:r w:rsidR="0047121F" w:rsidRPr="006D26BB">
        <w:rPr>
          <w:rFonts w:asciiTheme="minorHAnsi" w:hAnsiTheme="minorHAnsi" w:cstheme="minorHAnsi"/>
          <w:b/>
          <w:sz w:val="20"/>
          <w:szCs w:val="20"/>
        </w:rPr>
        <w:t>March 2023</w:t>
      </w:r>
    </w:p>
    <w:p w14:paraId="1C7A17BF" w14:textId="00CEF59A" w:rsidR="00B273C4" w:rsidRDefault="00B273C4" w:rsidP="0047121F">
      <w:pPr>
        <w:spacing w:after="0" w:line="240" w:lineRule="auto"/>
        <w:jc w:val="center"/>
        <w:rPr>
          <w:rFonts w:asciiTheme="minorHAnsi" w:hAnsiTheme="minorHAnsi" w:cstheme="minorHAnsi"/>
          <w:b/>
          <w:sz w:val="20"/>
          <w:szCs w:val="20"/>
        </w:rPr>
      </w:pPr>
      <w:r>
        <w:rPr>
          <w:rFonts w:ascii="Arial" w:hAnsi="Arial" w:cs="Arial"/>
          <w:noProof/>
          <w:sz w:val="16"/>
          <w:szCs w:val="16"/>
        </w:rPr>
        <w:drawing>
          <wp:inline distT="0" distB="0" distL="0" distR="0" wp14:anchorId="2FCF8179" wp14:editId="6E9162EC">
            <wp:extent cx="714375" cy="714375"/>
            <wp:effectExtent l="0" t="0" r="9525" b="9525"/>
            <wp:docPr id="1" name="Picture 1" descr="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lxp817wit4i" descr="UP.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14:paraId="40792871" w14:textId="77777777" w:rsidR="00B273C4" w:rsidRDefault="00B273C4" w:rsidP="0047121F">
      <w:pPr>
        <w:spacing w:after="0" w:line="240" w:lineRule="auto"/>
        <w:jc w:val="center"/>
        <w:rPr>
          <w:rFonts w:asciiTheme="minorHAnsi" w:hAnsiTheme="minorHAnsi" w:cstheme="minorHAnsi"/>
          <w:b/>
          <w:sz w:val="20"/>
          <w:szCs w:val="20"/>
        </w:rPr>
      </w:pPr>
    </w:p>
    <w:p w14:paraId="68247934" w14:textId="5DB694D9" w:rsidR="00AE6A3E" w:rsidRPr="006D26BB" w:rsidRDefault="00AE6A3E" w:rsidP="0047121F">
      <w:pPr>
        <w:spacing w:after="0" w:line="240" w:lineRule="auto"/>
        <w:jc w:val="center"/>
        <w:rPr>
          <w:rFonts w:asciiTheme="minorHAnsi" w:hAnsiTheme="minorHAnsi" w:cstheme="minorHAnsi"/>
          <w:b/>
          <w:sz w:val="20"/>
          <w:szCs w:val="20"/>
        </w:rPr>
      </w:pPr>
      <w:r w:rsidRPr="006D26BB">
        <w:rPr>
          <w:rFonts w:asciiTheme="minorHAnsi" w:hAnsiTheme="minorHAnsi" w:cstheme="minorHAnsi"/>
          <w:b/>
          <w:sz w:val="20"/>
          <w:szCs w:val="20"/>
        </w:rPr>
        <w:t>UP Global Sourcing Holdings plc</w:t>
      </w:r>
    </w:p>
    <w:p w14:paraId="5A4AA2B8" w14:textId="77777777" w:rsidR="00AE6A3E" w:rsidRPr="006D26BB" w:rsidRDefault="00AE6A3E" w:rsidP="0047121F">
      <w:pPr>
        <w:spacing w:after="0" w:line="240" w:lineRule="auto"/>
        <w:jc w:val="center"/>
        <w:rPr>
          <w:rFonts w:asciiTheme="minorHAnsi" w:hAnsiTheme="minorHAnsi" w:cstheme="minorHAnsi"/>
          <w:b/>
          <w:sz w:val="20"/>
          <w:szCs w:val="20"/>
        </w:rPr>
      </w:pPr>
    </w:p>
    <w:p w14:paraId="2456F3FD" w14:textId="77777777" w:rsidR="000A00C3" w:rsidRDefault="000A00C3" w:rsidP="000A00C3">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("Ultimate Products", the “Company” or the "Group")</w:t>
      </w:r>
    </w:p>
    <w:p w14:paraId="586CF294" w14:textId="77777777" w:rsidR="00AE6A3E" w:rsidRPr="006D26BB" w:rsidRDefault="00AE6A3E" w:rsidP="0047121F">
      <w:pPr>
        <w:spacing w:after="0" w:line="240" w:lineRule="auto"/>
        <w:jc w:val="center"/>
        <w:rPr>
          <w:rFonts w:asciiTheme="minorHAnsi" w:hAnsiTheme="minorHAnsi" w:cstheme="minorHAnsi"/>
          <w:b/>
          <w:sz w:val="20"/>
          <w:szCs w:val="20"/>
        </w:rPr>
      </w:pPr>
    </w:p>
    <w:p w14:paraId="66A2ECA8" w14:textId="7A9D5800" w:rsidR="00AE6A3E" w:rsidRPr="006D26BB" w:rsidRDefault="00AE6A3E" w:rsidP="0047121F">
      <w:pPr>
        <w:spacing w:after="0" w:line="240" w:lineRule="auto"/>
        <w:jc w:val="center"/>
        <w:rPr>
          <w:rFonts w:asciiTheme="minorHAnsi" w:hAnsiTheme="minorHAnsi" w:cstheme="minorHAnsi"/>
          <w:b/>
          <w:sz w:val="20"/>
          <w:szCs w:val="20"/>
        </w:rPr>
      </w:pPr>
      <w:r w:rsidRPr="006D26BB">
        <w:rPr>
          <w:rFonts w:asciiTheme="minorHAnsi" w:hAnsiTheme="minorHAnsi" w:cstheme="minorHAnsi"/>
          <w:b/>
          <w:sz w:val="20"/>
          <w:szCs w:val="20"/>
        </w:rPr>
        <w:t>INTERIM RESULTS FOR THE SIX MONTHS ENDED 31 JANUARY 20</w:t>
      </w:r>
      <w:r w:rsidR="0047121F" w:rsidRPr="006D26BB">
        <w:rPr>
          <w:rFonts w:asciiTheme="minorHAnsi" w:hAnsiTheme="minorHAnsi" w:cstheme="minorHAnsi"/>
          <w:b/>
          <w:sz w:val="20"/>
          <w:szCs w:val="20"/>
        </w:rPr>
        <w:t>23</w:t>
      </w:r>
    </w:p>
    <w:p w14:paraId="135DE185" w14:textId="77777777" w:rsidR="00AE6A3E" w:rsidRPr="006D26BB" w:rsidRDefault="00AE6A3E" w:rsidP="008B47AB">
      <w:pPr>
        <w:spacing w:after="0" w:line="240" w:lineRule="auto"/>
        <w:jc w:val="center"/>
        <w:rPr>
          <w:rFonts w:asciiTheme="minorHAnsi" w:hAnsiTheme="minorHAnsi" w:cstheme="minorHAnsi"/>
          <w:bCs/>
          <w:sz w:val="20"/>
          <w:szCs w:val="20"/>
        </w:rPr>
      </w:pPr>
    </w:p>
    <w:p w14:paraId="31315E3F" w14:textId="326B29D2" w:rsidR="00AE6A3E" w:rsidRPr="006D26BB" w:rsidRDefault="00F451FC" w:rsidP="008B47AB">
      <w:pPr>
        <w:spacing w:after="0" w:line="240" w:lineRule="auto"/>
        <w:jc w:val="center"/>
        <w:rPr>
          <w:rFonts w:asciiTheme="minorHAnsi" w:hAnsiTheme="minorHAnsi" w:cstheme="minorHAnsi"/>
          <w:bCs/>
          <w:sz w:val="20"/>
          <w:szCs w:val="20"/>
        </w:rPr>
      </w:pPr>
      <w:r w:rsidRPr="0014733E">
        <w:rPr>
          <w:b/>
          <w:bCs/>
          <w:i/>
          <w:iCs/>
          <w:color w:val="000000" w:themeColor="text1"/>
          <w:sz w:val="20"/>
          <w:szCs w:val="20"/>
        </w:rPr>
        <w:t>FY23 outlook</w:t>
      </w:r>
      <w:r>
        <w:rPr>
          <w:b/>
          <w:bCs/>
          <w:i/>
          <w:iCs/>
          <w:color w:val="000000" w:themeColor="text1"/>
          <w:sz w:val="20"/>
          <w:szCs w:val="20"/>
        </w:rPr>
        <w:t xml:space="preserve"> in line with current market expectations</w:t>
      </w:r>
      <w:r w:rsidR="00AC3DFC">
        <w:rPr>
          <w:b/>
          <w:bCs/>
          <w:i/>
          <w:iCs/>
          <w:color w:val="000000" w:themeColor="text1"/>
          <w:sz w:val="20"/>
          <w:szCs w:val="20"/>
        </w:rPr>
        <w:t>*</w:t>
      </w:r>
    </w:p>
    <w:p w14:paraId="0187CFA3" w14:textId="77777777" w:rsidR="00AC3DFC" w:rsidRDefault="00AC3DFC" w:rsidP="0047121F">
      <w:pPr>
        <w:spacing w:after="0" w:line="240" w:lineRule="auto"/>
        <w:jc w:val="both"/>
        <w:rPr>
          <w:rFonts w:asciiTheme="minorHAnsi" w:hAnsiTheme="minorHAnsi" w:cstheme="minorHAnsi"/>
          <w:bCs/>
          <w:sz w:val="20"/>
          <w:szCs w:val="20"/>
        </w:rPr>
      </w:pPr>
    </w:p>
    <w:p w14:paraId="4DF964E3" w14:textId="1F079910" w:rsidR="00AE6A3E" w:rsidRPr="006D26BB" w:rsidRDefault="00AE6A3E" w:rsidP="0047121F">
      <w:pPr>
        <w:spacing w:after="0" w:line="240" w:lineRule="auto"/>
        <w:jc w:val="both"/>
        <w:rPr>
          <w:rFonts w:asciiTheme="minorHAnsi" w:hAnsiTheme="minorHAnsi" w:cstheme="minorHAnsi"/>
          <w:bCs/>
          <w:sz w:val="20"/>
          <w:szCs w:val="20"/>
        </w:rPr>
      </w:pPr>
      <w:r w:rsidRPr="006D26BB">
        <w:rPr>
          <w:rFonts w:asciiTheme="minorHAnsi" w:hAnsiTheme="minorHAnsi" w:cstheme="minorHAnsi"/>
          <w:bCs/>
          <w:sz w:val="20"/>
          <w:szCs w:val="20"/>
        </w:rPr>
        <w:t xml:space="preserve">Ultimate Products, the owner of </w:t>
      </w:r>
      <w:proofErr w:type="gramStart"/>
      <w:r w:rsidRPr="006D26BB">
        <w:rPr>
          <w:rFonts w:asciiTheme="minorHAnsi" w:hAnsiTheme="minorHAnsi" w:cstheme="minorHAnsi"/>
          <w:bCs/>
          <w:sz w:val="20"/>
          <w:szCs w:val="20"/>
        </w:rPr>
        <w:t>a number of</w:t>
      </w:r>
      <w:proofErr w:type="gramEnd"/>
      <w:r w:rsidRPr="006D26BB">
        <w:rPr>
          <w:rFonts w:asciiTheme="minorHAnsi" w:hAnsiTheme="minorHAnsi" w:cstheme="minorHAnsi"/>
          <w:bCs/>
          <w:sz w:val="20"/>
          <w:szCs w:val="20"/>
        </w:rPr>
        <w:t xml:space="preserve"> leading homeware brands including Salter (the UK's oldest houseware brand, est.1760) and </w:t>
      </w:r>
      <w:proofErr w:type="spellStart"/>
      <w:r w:rsidRPr="006D26BB">
        <w:rPr>
          <w:rFonts w:asciiTheme="minorHAnsi" w:hAnsiTheme="minorHAnsi" w:cstheme="minorHAnsi"/>
          <w:bCs/>
          <w:sz w:val="20"/>
          <w:szCs w:val="20"/>
        </w:rPr>
        <w:t>Beldray</w:t>
      </w:r>
      <w:proofErr w:type="spellEnd"/>
      <w:r w:rsidRPr="006D26BB">
        <w:rPr>
          <w:rFonts w:asciiTheme="minorHAnsi" w:hAnsiTheme="minorHAnsi" w:cstheme="minorHAnsi"/>
          <w:bCs/>
          <w:sz w:val="20"/>
          <w:szCs w:val="20"/>
        </w:rPr>
        <w:t xml:space="preserve"> (est.1872), announces its interim results for the six months ended 31 January 20</w:t>
      </w:r>
      <w:r w:rsidR="0047121F" w:rsidRPr="006D26BB">
        <w:rPr>
          <w:rFonts w:asciiTheme="minorHAnsi" w:hAnsiTheme="minorHAnsi" w:cstheme="minorHAnsi"/>
          <w:bCs/>
          <w:sz w:val="20"/>
          <w:szCs w:val="20"/>
        </w:rPr>
        <w:t>23</w:t>
      </w:r>
      <w:r w:rsidRPr="006D26BB">
        <w:rPr>
          <w:rFonts w:asciiTheme="minorHAnsi" w:hAnsiTheme="minorHAnsi" w:cstheme="minorHAnsi"/>
          <w:bCs/>
          <w:sz w:val="20"/>
          <w:szCs w:val="20"/>
        </w:rPr>
        <w:t>.</w:t>
      </w:r>
    </w:p>
    <w:p w14:paraId="60B3A770" w14:textId="11A80865" w:rsidR="0047121F" w:rsidRPr="006D26BB" w:rsidRDefault="0047121F" w:rsidP="0047121F">
      <w:pPr>
        <w:spacing w:after="0" w:line="240" w:lineRule="auto"/>
        <w:jc w:val="both"/>
        <w:rPr>
          <w:rFonts w:asciiTheme="minorHAnsi" w:hAnsiTheme="minorHAnsi" w:cstheme="minorHAnsi"/>
          <w:bCs/>
          <w:sz w:val="20"/>
          <w:szCs w:val="20"/>
        </w:rPr>
      </w:pPr>
    </w:p>
    <w:p w14:paraId="625E6330" w14:textId="77777777" w:rsidR="0047121F" w:rsidRPr="006D26BB" w:rsidRDefault="0047121F" w:rsidP="0047121F">
      <w:pPr>
        <w:spacing w:after="0" w:line="240" w:lineRule="auto"/>
        <w:outlineLvl w:val="0"/>
        <w:rPr>
          <w:rFonts w:asciiTheme="minorHAnsi" w:hAnsiTheme="minorHAnsi" w:cstheme="minorHAnsi"/>
          <w:color w:val="000000" w:themeColor="text1"/>
          <w:sz w:val="20"/>
          <w:szCs w:val="20"/>
        </w:rPr>
      </w:pPr>
      <w:bookmarkStart w:id="0" w:name="_Hlk111727439"/>
      <w:r w:rsidRPr="006D26BB">
        <w:rPr>
          <w:rFonts w:asciiTheme="minorHAnsi" w:hAnsiTheme="minorHAnsi" w:cstheme="minorHAnsi"/>
          <w:b/>
          <w:color w:val="000000" w:themeColor="text1"/>
          <w:sz w:val="20"/>
          <w:szCs w:val="20"/>
        </w:rPr>
        <w:t>Financial highlights</w:t>
      </w:r>
    </w:p>
    <w:p w14:paraId="5A10130F" w14:textId="0AF57053" w:rsidR="0047121F" w:rsidRPr="006D26BB" w:rsidRDefault="0047121F" w:rsidP="009330EB">
      <w:pPr>
        <w:pStyle w:val="BodyBullets"/>
        <w:spacing w:before="0" w:after="0" w:line="240" w:lineRule="auto"/>
        <w:ind w:left="568" w:hanging="284"/>
        <w:rPr>
          <w:rFonts w:asciiTheme="minorHAnsi" w:hAnsiTheme="minorHAnsi" w:cstheme="minorHAnsi"/>
          <w:bCs/>
          <w:color w:val="000000" w:themeColor="text1"/>
          <w:szCs w:val="20"/>
          <w:lang w:val="en-GB"/>
        </w:rPr>
      </w:pPr>
      <w:bookmarkStart w:id="1" w:name="_Hlk111727396"/>
      <w:bookmarkEnd w:id="0"/>
      <w:r w:rsidRPr="006D26BB">
        <w:rPr>
          <w:rFonts w:asciiTheme="minorHAnsi" w:hAnsiTheme="minorHAnsi" w:cstheme="minorHAnsi"/>
          <w:bCs/>
          <w:color w:val="000000" w:themeColor="text1"/>
          <w:szCs w:val="20"/>
          <w:lang w:val="en-GB"/>
        </w:rPr>
        <w:t xml:space="preserve">Total revenue up </w:t>
      </w:r>
      <w:r w:rsidR="00874F6A" w:rsidRPr="006D26BB">
        <w:rPr>
          <w:rFonts w:asciiTheme="minorHAnsi" w:hAnsiTheme="minorHAnsi" w:cstheme="minorHAnsi"/>
          <w:bCs/>
          <w:color w:val="000000" w:themeColor="text1"/>
          <w:szCs w:val="20"/>
          <w:lang w:val="en-GB"/>
        </w:rPr>
        <w:t>2</w:t>
      </w:r>
      <w:r w:rsidRPr="006D26BB">
        <w:rPr>
          <w:rFonts w:asciiTheme="minorHAnsi" w:hAnsiTheme="minorHAnsi" w:cstheme="minorHAnsi"/>
          <w:bCs/>
          <w:color w:val="000000" w:themeColor="text1"/>
          <w:szCs w:val="20"/>
          <w:lang w:val="en-GB"/>
        </w:rPr>
        <w:t>% to £</w:t>
      </w:r>
      <w:r w:rsidR="00874F6A" w:rsidRPr="006D26BB">
        <w:rPr>
          <w:rFonts w:asciiTheme="minorHAnsi" w:hAnsiTheme="minorHAnsi" w:cstheme="minorHAnsi"/>
          <w:bCs/>
          <w:color w:val="000000" w:themeColor="text1"/>
          <w:szCs w:val="20"/>
          <w:lang w:val="en-GB"/>
        </w:rPr>
        <w:t>87.6</w:t>
      </w:r>
      <w:r w:rsidRPr="006D26BB">
        <w:rPr>
          <w:rFonts w:asciiTheme="minorHAnsi" w:hAnsiTheme="minorHAnsi" w:cstheme="minorHAnsi"/>
          <w:bCs/>
          <w:color w:val="000000" w:themeColor="text1"/>
          <w:szCs w:val="20"/>
          <w:lang w:val="en-GB"/>
        </w:rPr>
        <w:t>m (H1 2022: £</w:t>
      </w:r>
      <w:r w:rsidR="00CF0C2A" w:rsidRPr="006D26BB">
        <w:rPr>
          <w:rFonts w:asciiTheme="minorHAnsi" w:hAnsiTheme="minorHAnsi" w:cstheme="minorHAnsi"/>
          <w:bCs/>
          <w:color w:val="000000" w:themeColor="text1"/>
          <w:szCs w:val="20"/>
          <w:lang w:val="en-GB"/>
        </w:rPr>
        <w:t>85.7</w:t>
      </w:r>
      <w:r w:rsidRPr="006D26BB">
        <w:rPr>
          <w:rFonts w:asciiTheme="minorHAnsi" w:hAnsiTheme="minorHAnsi" w:cstheme="minorHAnsi"/>
          <w:bCs/>
          <w:color w:val="000000" w:themeColor="text1"/>
          <w:szCs w:val="20"/>
          <w:lang w:val="en-GB"/>
        </w:rPr>
        <w:t>m)</w:t>
      </w:r>
      <w:r w:rsidR="00D16354" w:rsidRPr="006D26BB">
        <w:rPr>
          <w:rFonts w:asciiTheme="minorHAnsi" w:hAnsiTheme="minorHAnsi" w:cstheme="minorHAnsi"/>
          <w:bCs/>
          <w:color w:val="000000" w:themeColor="text1"/>
          <w:szCs w:val="20"/>
          <w:lang w:val="en-GB"/>
        </w:rPr>
        <w:t xml:space="preserve">, </w:t>
      </w:r>
      <w:r w:rsidR="007B2B50">
        <w:rPr>
          <w:rFonts w:asciiTheme="minorHAnsi" w:hAnsiTheme="minorHAnsi" w:cstheme="minorHAnsi"/>
          <w:bCs/>
          <w:color w:val="000000" w:themeColor="text1"/>
          <w:szCs w:val="20"/>
          <w:lang w:val="en-GB"/>
        </w:rPr>
        <w:t>achieved</w:t>
      </w:r>
      <w:r w:rsidR="004726F9">
        <w:rPr>
          <w:rFonts w:asciiTheme="minorHAnsi" w:hAnsiTheme="minorHAnsi" w:cstheme="minorHAnsi"/>
          <w:bCs/>
          <w:color w:val="000000" w:themeColor="text1"/>
          <w:szCs w:val="20"/>
          <w:lang w:val="en-GB"/>
        </w:rPr>
        <w:t xml:space="preserve"> </w:t>
      </w:r>
      <w:r w:rsidR="00D16354" w:rsidRPr="006D26BB">
        <w:rPr>
          <w:rFonts w:asciiTheme="minorHAnsi" w:hAnsiTheme="minorHAnsi" w:cstheme="minorHAnsi"/>
          <w:bCs/>
          <w:color w:val="000000" w:themeColor="text1"/>
          <w:szCs w:val="20"/>
          <w:lang w:val="en-GB"/>
        </w:rPr>
        <w:t xml:space="preserve">with no </w:t>
      </w:r>
      <w:r w:rsidR="0009341D">
        <w:rPr>
          <w:rFonts w:asciiTheme="minorHAnsi" w:hAnsiTheme="minorHAnsi" w:cstheme="minorHAnsi"/>
          <w:bCs/>
          <w:color w:val="000000" w:themeColor="text1"/>
          <w:szCs w:val="20"/>
          <w:lang w:val="en-GB"/>
        </w:rPr>
        <w:t xml:space="preserve">overall </w:t>
      </w:r>
      <w:r w:rsidR="00D16354" w:rsidRPr="006D26BB">
        <w:rPr>
          <w:rFonts w:asciiTheme="minorHAnsi" w:hAnsiTheme="minorHAnsi" w:cstheme="minorHAnsi"/>
          <w:bCs/>
          <w:color w:val="000000" w:themeColor="text1"/>
          <w:szCs w:val="20"/>
          <w:lang w:val="en-GB"/>
        </w:rPr>
        <w:t>price inflation</w:t>
      </w:r>
      <w:r w:rsidR="001B02A1">
        <w:rPr>
          <w:rFonts w:asciiTheme="minorHAnsi" w:hAnsiTheme="minorHAnsi" w:cstheme="minorHAnsi"/>
          <w:bCs/>
          <w:color w:val="000000" w:themeColor="text1"/>
          <w:szCs w:val="20"/>
          <w:lang w:val="en-GB"/>
        </w:rPr>
        <w:t xml:space="preserve"> to keep our products at price</w:t>
      </w:r>
      <w:r w:rsidR="000A00C3">
        <w:rPr>
          <w:rFonts w:asciiTheme="minorHAnsi" w:hAnsiTheme="minorHAnsi" w:cstheme="minorHAnsi"/>
          <w:bCs/>
          <w:color w:val="000000" w:themeColor="text1"/>
          <w:szCs w:val="20"/>
          <w:lang w:val="en-GB"/>
        </w:rPr>
        <w:t>s</w:t>
      </w:r>
      <w:r w:rsidR="001B02A1">
        <w:rPr>
          <w:rFonts w:asciiTheme="minorHAnsi" w:hAnsiTheme="minorHAnsi" w:cstheme="minorHAnsi"/>
          <w:bCs/>
          <w:color w:val="000000" w:themeColor="text1"/>
          <w:szCs w:val="20"/>
          <w:lang w:val="en-GB"/>
        </w:rPr>
        <w:t xml:space="preserve"> which </w:t>
      </w:r>
      <w:r w:rsidR="000A00C3">
        <w:rPr>
          <w:rFonts w:asciiTheme="minorHAnsi" w:hAnsiTheme="minorHAnsi" w:cstheme="minorHAnsi"/>
          <w:bCs/>
          <w:color w:val="000000" w:themeColor="text1"/>
          <w:szCs w:val="20"/>
          <w:lang w:val="en-GB"/>
        </w:rPr>
        <w:t>are</w:t>
      </w:r>
      <w:r w:rsidR="001B02A1">
        <w:rPr>
          <w:rFonts w:asciiTheme="minorHAnsi" w:hAnsiTheme="minorHAnsi" w:cstheme="minorHAnsi"/>
          <w:bCs/>
          <w:color w:val="000000" w:themeColor="text1"/>
          <w:szCs w:val="20"/>
          <w:lang w:val="en-GB"/>
        </w:rPr>
        <w:t xml:space="preserve"> </w:t>
      </w:r>
      <w:r w:rsidR="009E7467">
        <w:rPr>
          <w:rFonts w:asciiTheme="minorHAnsi" w:hAnsiTheme="minorHAnsi" w:cstheme="minorHAnsi"/>
          <w:bCs/>
          <w:color w:val="000000" w:themeColor="text1"/>
          <w:szCs w:val="20"/>
          <w:lang w:val="en-GB"/>
        </w:rPr>
        <w:t>affordable</w:t>
      </w:r>
      <w:r w:rsidR="001B02A1">
        <w:rPr>
          <w:rFonts w:asciiTheme="minorHAnsi" w:hAnsiTheme="minorHAnsi" w:cstheme="minorHAnsi"/>
          <w:bCs/>
          <w:color w:val="000000" w:themeColor="text1"/>
          <w:szCs w:val="20"/>
          <w:lang w:val="en-GB"/>
        </w:rPr>
        <w:t xml:space="preserve"> to all</w:t>
      </w:r>
      <w:r w:rsidR="00C64F83">
        <w:rPr>
          <w:rFonts w:asciiTheme="minorHAnsi" w:hAnsiTheme="minorHAnsi" w:cstheme="minorHAnsi"/>
          <w:bCs/>
          <w:color w:val="000000" w:themeColor="text1"/>
          <w:szCs w:val="20"/>
          <w:lang w:val="en-GB"/>
        </w:rPr>
        <w:t xml:space="preserve"> </w:t>
      </w:r>
      <w:proofErr w:type="gramStart"/>
      <w:r w:rsidR="001B02A1">
        <w:rPr>
          <w:rFonts w:asciiTheme="minorHAnsi" w:hAnsiTheme="minorHAnsi" w:cstheme="minorHAnsi"/>
          <w:bCs/>
          <w:color w:val="000000" w:themeColor="text1"/>
          <w:szCs w:val="20"/>
          <w:lang w:val="en-GB"/>
        </w:rPr>
        <w:t>consumers</w:t>
      </w:r>
      <w:proofErr w:type="gramEnd"/>
    </w:p>
    <w:p w14:paraId="386D05D3" w14:textId="558C5608" w:rsidR="00F31E20" w:rsidRPr="006D26BB" w:rsidRDefault="00F31E20" w:rsidP="00287A79">
      <w:pPr>
        <w:pStyle w:val="BodyBullets"/>
        <w:numPr>
          <w:ilvl w:val="1"/>
          <w:numId w:val="61"/>
        </w:numPr>
        <w:spacing w:before="0" w:after="0" w:line="240" w:lineRule="auto"/>
        <w:jc w:val="both"/>
        <w:rPr>
          <w:rFonts w:asciiTheme="minorHAnsi" w:hAnsiTheme="minorHAnsi" w:cstheme="minorHAnsi"/>
          <w:bCs/>
          <w:color w:val="000000" w:themeColor="text1"/>
          <w:szCs w:val="20"/>
          <w:lang w:val="en-GB"/>
        </w:rPr>
      </w:pPr>
      <w:r w:rsidRPr="006D26BB">
        <w:rPr>
          <w:rFonts w:asciiTheme="minorHAnsi" w:hAnsiTheme="minorHAnsi" w:cstheme="minorHAnsi"/>
          <w:bCs/>
          <w:color w:val="000000" w:themeColor="text1"/>
          <w:szCs w:val="20"/>
          <w:lang w:val="en-GB"/>
        </w:rPr>
        <w:t xml:space="preserve">Online revenue up </w:t>
      </w:r>
      <w:r w:rsidR="000469A9" w:rsidRPr="006D26BB">
        <w:rPr>
          <w:rFonts w:asciiTheme="minorHAnsi" w:hAnsiTheme="minorHAnsi" w:cstheme="minorHAnsi"/>
          <w:bCs/>
          <w:color w:val="000000" w:themeColor="text1"/>
          <w:szCs w:val="20"/>
          <w:lang w:val="en-GB"/>
        </w:rPr>
        <w:t>78</w:t>
      </w:r>
      <w:r w:rsidRPr="006D26BB">
        <w:rPr>
          <w:rFonts w:asciiTheme="minorHAnsi" w:hAnsiTheme="minorHAnsi" w:cstheme="minorHAnsi"/>
          <w:bCs/>
          <w:color w:val="000000" w:themeColor="text1"/>
          <w:szCs w:val="20"/>
          <w:lang w:val="en-GB"/>
        </w:rPr>
        <w:t>% to £</w:t>
      </w:r>
      <w:r w:rsidR="000469A9" w:rsidRPr="006D26BB">
        <w:rPr>
          <w:rFonts w:asciiTheme="minorHAnsi" w:hAnsiTheme="minorHAnsi" w:cstheme="minorHAnsi"/>
          <w:bCs/>
          <w:color w:val="000000" w:themeColor="text1"/>
          <w:szCs w:val="20"/>
          <w:lang w:val="en-GB"/>
        </w:rPr>
        <w:t>22.9</w:t>
      </w:r>
      <w:r w:rsidRPr="006D26BB">
        <w:rPr>
          <w:rFonts w:asciiTheme="minorHAnsi" w:hAnsiTheme="minorHAnsi" w:cstheme="minorHAnsi"/>
          <w:bCs/>
          <w:color w:val="000000" w:themeColor="text1"/>
          <w:szCs w:val="20"/>
          <w:lang w:val="en-GB"/>
        </w:rPr>
        <w:t>m (H1 2022: £12.8m)</w:t>
      </w:r>
      <w:r w:rsidR="001525E0">
        <w:rPr>
          <w:rFonts w:asciiTheme="minorHAnsi" w:hAnsiTheme="minorHAnsi" w:cstheme="minorHAnsi"/>
          <w:bCs/>
          <w:color w:val="000000" w:themeColor="text1"/>
          <w:szCs w:val="20"/>
          <w:lang w:val="en-GB"/>
        </w:rPr>
        <w:t xml:space="preserve">, </w:t>
      </w:r>
      <w:r w:rsidR="00E42847">
        <w:rPr>
          <w:rFonts w:asciiTheme="minorHAnsi" w:hAnsiTheme="minorHAnsi" w:cstheme="minorHAnsi"/>
          <w:bCs/>
          <w:color w:val="000000" w:themeColor="text1"/>
          <w:szCs w:val="20"/>
          <w:lang w:val="en-GB"/>
        </w:rPr>
        <w:t xml:space="preserve">supported by continued normalisation of global </w:t>
      </w:r>
      <w:r w:rsidR="001525E0">
        <w:rPr>
          <w:rFonts w:asciiTheme="minorHAnsi" w:hAnsiTheme="minorHAnsi" w:cstheme="minorHAnsi"/>
          <w:bCs/>
          <w:color w:val="000000" w:themeColor="text1"/>
          <w:szCs w:val="20"/>
          <w:lang w:val="en-GB"/>
        </w:rPr>
        <w:t xml:space="preserve">supply </w:t>
      </w:r>
      <w:proofErr w:type="gramStart"/>
      <w:r w:rsidR="001525E0">
        <w:rPr>
          <w:rFonts w:asciiTheme="minorHAnsi" w:hAnsiTheme="minorHAnsi" w:cstheme="minorHAnsi"/>
          <w:bCs/>
          <w:color w:val="000000" w:themeColor="text1"/>
          <w:szCs w:val="20"/>
          <w:lang w:val="en-GB"/>
        </w:rPr>
        <w:t>chain</w:t>
      </w:r>
      <w:r w:rsidR="00BB25C4">
        <w:rPr>
          <w:rFonts w:asciiTheme="minorHAnsi" w:hAnsiTheme="minorHAnsi" w:cstheme="minorHAnsi"/>
          <w:bCs/>
          <w:color w:val="000000" w:themeColor="text1"/>
          <w:szCs w:val="20"/>
          <w:lang w:val="en-GB"/>
        </w:rPr>
        <w:t>s</w:t>
      </w:r>
      <w:proofErr w:type="gramEnd"/>
    </w:p>
    <w:p w14:paraId="00F38417" w14:textId="29F33AC5" w:rsidR="001525E0" w:rsidRDefault="001525E0" w:rsidP="00287A79">
      <w:pPr>
        <w:pStyle w:val="BodyBullets"/>
        <w:numPr>
          <w:ilvl w:val="1"/>
          <w:numId w:val="61"/>
        </w:numPr>
        <w:spacing w:before="0" w:after="0" w:line="240" w:lineRule="auto"/>
        <w:jc w:val="both"/>
        <w:rPr>
          <w:rFonts w:asciiTheme="minorHAnsi" w:hAnsiTheme="minorHAnsi" w:cstheme="minorHAnsi"/>
          <w:bCs/>
          <w:color w:val="000000" w:themeColor="text1"/>
          <w:szCs w:val="20"/>
          <w:lang w:val="en-GB"/>
        </w:rPr>
      </w:pPr>
      <w:r>
        <w:rPr>
          <w:rFonts w:asciiTheme="minorHAnsi" w:hAnsiTheme="minorHAnsi" w:cstheme="minorHAnsi"/>
          <w:bCs/>
          <w:color w:val="000000" w:themeColor="text1"/>
          <w:szCs w:val="20"/>
          <w:lang w:val="en-GB"/>
        </w:rPr>
        <w:t>Sales to retailers down 11% to £64.7m (H1 2022: £72.9m)</w:t>
      </w:r>
      <w:r w:rsidR="00654687">
        <w:rPr>
          <w:rFonts w:asciiTheme="minorHAnsi" w:hAnsiTheme="minorHAnsi" w:cstheme="minorHAnsi"/>
          <w:bCs/>
          <w:color w:val="000000" w:themeColor="text1"/>
          <w:szCs w:val="20"/>
          <w:lang w:val="en-GB"/>
        </w:rPr>
        <w:t xml:space="preserve">, </w:t>
      </w:r>
      <w:r w:rsidR="003D21AD">
        <w:rPr>
          <w:rFonts w:asciiTheme="minorHAnsi" w:hAnsiTheme="minorHAnsi" w:cstheme="minorHAnsi"/>
          <w:bCs/>
          <w:color w:val="000000" w:themeColor="text1"/>
          <w:szCs w:val="20"/>
          <w:lang w:val="en-GB"/>
        </w:rPr>
        <w:t>hampered by</w:t>
      </w:r>
      <w:r w:rsidR="00654687">
        <w:rPr>
          <w:rFonts w:asciiTheme="minorHAnsi" w:hAnsiTheme="minorHAnsi" w:cstheme="minorHAnsi"/>
          <w:bCs/>
          <w:color w:val="000000" w:themeColor="text1"/>
          <w:szCs w:val="20"/>
          <w:lang w:val="en-GB"/>
        </w:rPr>
        <w:t xml:space="preserve"> cautio</w:t>
      </w:r>
      <w:r w:rsidR="00287A79">
        <w:rPr>
          <w:rFonts w:asciiTheme="minorHAnsi" w:hAnsiTheme="minorHAnsi" w:cstheme="minorHAnsi"/>
          <w:bCs/>
          <w:color w:val="000000" w:themeColor="text1"/>
          <w:szCs w:val="20"/>
          <w:lang w:val="en-GB"/>
        </w:rPr>
        <w:t>n in</w:t>
      </w:r>
      <w:r w:rsidR="00654687">
        <w:rPr>
          <w:rFonts w:asciiTheme="minorHAnsi" w:hAnsiTheme="minorHAnsi" w:cstheme="minorHAnsi"/>
          <w:bCs/>
          <w:color w:val="000000" w:themeColor="text1"/>
          <w:szCs w:val="20"/>
          <w:lang w:val="en-GB"/>
        </w:rPr>
        <w:t xml:space="preserve"> </w:t>
      </w:r>
      <w:r w:rsidR="00287A79">
        <w:rPr>
          <w:rFonts w:asciiTheme="minorHAnsi" w:hAnsiTheme="minorHAnsi" w:cstheme="minorHAnsi"/>
          <w:bCs/>
          <w:color w:val="000000" w:themeColor="text1"/>
          <w:szCs w:val="20"/>
          <w:lang w:val="en-GB"/>
        </w:rPr>
        <w:t xml:space="preserve">forward </w:t>
      </w:r>
      <w:r w:rsidR="00654687">
        <w:rPr>
          <w:rFonts w:asciiTheme="minorHAnsi" w:hAnsiTheme="minorHAnsi" w:cstheme="minorHAnsi"/>
          <w:bCs/>
          <w:color w:val="000000" w:themeColor="text1"/>
          <w:szCs w:val="20"/>
          <w:lang w:val="en-GB"/>
        </w:rPr>
        <w:t xml:space="preserve">ordering </w:t>
      </w:r>
      <w:r w:rsidR="00C63DCB">
        <w:rPr>
          <w:rFonts w:asciiTheme="minorHAnsi" w:hAnsiTheme="minorHAnsi" w:cstheme="minorHAnsi"/>
          <w:bCs/>
          <w:color w:val="000000" w:themeColor="text1"/>
          <w:szCs w:val="20"/>
          <w:lang w:val="en-GB"/>
        </w:rPr>
        <w:t xml:space="preserve">arising from </w:t>
      </w:r>
      <w:r w:rsidR="00654687">
        <w:rPr>
          <w:rFonts w:asciiTheme="minorHAnsi" w:hAnsiTheme="minorHAnsi" w:cstheme="minorHAnsi"/>
          <w:bCs/>
          <w:color w:val="000000" w:themeColor="text1"/>
          <w:szCs w:val="20"/>
          <w:lang w:val="en-GB"/>
        </w:rPr>
        <w:t>post</w:t>
      </w:r>
      <w:r w:rsidR="00287A79">
        <w:rPr>
          <w:rFonts w:asciiTheme="minorHAnsi" w:hAnsiTheme="minorHAnsi" w:cstheme="minorHAnsi"/>
          <w:bCs/>
          <w:color w:val="000000" w:themeColor="text1"/>
          <w:szCs w:val="20"/>
          <w:lang w:val="en-GB"/>
        </w:rPr>
        <w:t>-</w:t>
      </w:r>
      <w:r w:rsidR="00654687">
        <w:rPr>
          <w:rFonts w:asciiTheme="minorHAnsi" w:hAnsiTheme="minorHAnsi" w:cstheme="minorHAnsi"/>
          <w:bCs/>
          <w:color w:val="000000" w:themeColor="text1"/>
          <w:szCs w:val="20"/>
          <w:lang w:val="en-GB"/>
        </w:rPr>
        <w:t xml:space="preserve">COVID overstocks </w:t>
      </w:r>
      <w:r w:rsidR="00B273C4">
        <w:rPr>
          <w:rFonts w:asciiTheme="minorHAnsi" w:hAnsiTheme="minorHAnsi" w:cstheme="minorHAnsi"/>
          <w:bCs/>
          <w:color w:val="000000" w:themeColor="text1"/>
          <w:szCs w:val="20"/>
          <w:lang w:val="en-GB"/>
        </w:rPr>
        <w:t xml:space="preserve">amongst </w:t>
      </w:r>
      <w:proofErr w:type="gramStart"/>
      <w:r w:rsidR="00B273C4">
        <w:rPr>
          <w:rFonts w:asciiTheme="minorHAnsi" w:hAnsiTheme="minorHAnsi" w:cstheme="minorHAnsi"/>
          <w:bCs/>
          <w:color w:val="000000" w:themeColor="text1"/>
          <w:szCs w:val="20"/>
          <w:lang w:val="en-GB"/>
        </w:rPr>
        <w:t>retailers</w:t>
      </w:r>
      <w:proofErr w:type="gramEnd"/>
    </w:p>
    <w:p w14:paraId="659AC420" w14:textId="6BFCA60F" w:rsidR="002A0B64" w:rsidRPr="00F51B8B" w:rsidRDefault="002A0B64" w:rsidP="002A0B64">
      <w:pPr>
        <w:pStyle w:val="BodyBullets"/>
        <w:spacing w:before="0" w:after="0" w:line="240" w:lineRule="auto"/>
        <w:ind w:left="568" w:hanging="284"/>
        <w:jc w:val="both"/>
        <w:rPr>
          <w:rFonts w:asciiTheme="minorHAnsi" w:hAnsiTheme="minorHAnsi" w:cstheme="minorHAnsi"/>
          <w:bCs/>
          <w:color w:val="000000" w:themeColor="text1"/>
          <w:szCs w:val="20"/>
          <w:lang w:val="en-GB"/>
        </w:rPr>
      </w:pPr>
      <w:r>
        <w:rPr>
          <w:rFonts w:asciiTheme="minorHAnsi" w:hAnsiTheme="minorHAnsi" w:cstheme="minorHAnsi"/>
          <w:bCs/>
          <w:color w:val="000000" w:themeColor="text1"/>
          <w:szCs w:val="20"/>
          <w:lang w:val="en-GB"/>
        </w:rPr>
        <w:t>G</w:t>
      </w:r>
      <w:r w:rsidRPr="004A3E79">
        <w:rPr>
          <w:rFonts w:asciiTheme="minorHAnsi" w:hAnsiTheme="minorHAnsi" w:cstheme="minorHAnsi"/>
          <w:bCs/>
          <w:color w:val="000000" w:themeColor="text1"/>
          <w:szCs w:val="20"/>
          <w:lang w:val="en-GB"/>
        </w:rPr>
        <w:t xml:space="preserve">ross profit rose </w:t>
      </w:r>
      <w:r w:rsidR="000F2B32">
        <w:rPr>
          <w:rFonts w:asciiTheme="minorHAnsi" w:hAnsiTheme="minorHAnsi" w:cstheme="minorHAnsi"/>
          <w:bCs/>
          <w:color w:val="000000" w:themeColor="text1"/>
          <w:szCs w:val="20"/>
          <w:lang w:val="en-GB"/>
        </w:rPr>
        <w:t>3</w:t>
      </w:r>
      <w:r w:rsidRPr="004A3E79">
        <w:rPr>
          <w:rFonts w:asciiTheme="minorHAnsi" w:hAnsiTheme="minorHAnsi" w:cstheme="minorHAnsi"/>
          <w:bCs/>
          <w:color w:val="000000" w:themeColor="text1"/>
          <w:szCs w:val="20"/>
          <w:lang w:val="en-GB"/>
        </w:rPr>
        <w:t>% to £21.6m (H1 2022: £20.9m)</w:t>
      </w:r>
      <w:r>
        <w:rPr>
          <w:rFonts w:asciiTheme="minorHAnsi" w:hAnsiTheme="minorHAnsi" w:cstheme="minorHAnsi"/>
          <w:bCs/>
          <w:color w:val="000000" w:themeColor="text1"/>
          <w:szCs w:val="20"/>
          <w:lang w:val="en-GB"/>
        </w:rPr>
        <w:t xml:space="preserve">, </w:t>
      </w:r>
      <w:r w:rsidR="009330EB">
        <w:rPr>
          <w:rFonts w:asciiTheme="minorHAnsi" w:hAnsiTheme="minorHAnsi" w:cstheme="minorHAnsi"/>
          <w:bCs/>
          <w:color w:val="000000" w:themeColor="text1"/>
          <w:szCs w:val="20"/>
          <w:lang w:val="en-GB"/>
        </w:rPr>
        <w:t>with</w:t>
      </w:r>
      <w:r>
        <w:rPr>
          <w:rFonts w:asciiTheme="minorHAnsi" w:hAnsiTheme="minorHAnsi" w:cstheme="minorHAnsi"/>
          <w:bCs/>
          <w:color w:val="000000" w:themeColor="text1"/>
          <w:szCs w:val="20"/>
          <w:lang w:val="en-GB"/>
        </w:rPr>
        <w:t xml:space="preserve"> g</w:t>
      </w:r>
      <w:proofErr w:type="spellStart"/>
      <w:r w:rsidRPr="00F51B8B">
        <w:rPr>
          <w:rFonts w:asciiTheme="minorHAnsi" w:hAnsiTheme="minorHAnsi" w:cstheme="minorHAnsi"/>
          <w:bCs/>
          <w:color w:val="auto"/>
          <w:szCs w:val="20"/>
          <w:lang w:val="en-US"/>
        </w:rPr>
        <w:t>ross</w:t>
      </w:r>
      <w:proofErr w:type="spellEnd"/>
      <w:r w:rsidRPr="00F51B8B">
        <w:rPr>
          <w:rFonts w:asciiTheme="minorHAnsi" w:hAnsiTheme="minorHAnsi" w:cstheme="minorHAnsi"/>
          <w:bCs/>
          <w:color w:val="auto"/>
          <w:szCs w:val="20"/>
          <w:lang w:val="en-US"/>
        </w:rPr>
        <w:t xml:space="preserve"> margin increas</w:t>
      </w:r>
      <w:r w:rsidR="009330EB">
        <w:rPr>
          <w:rFonts w:asciiTheme="minorHAnsi" w:hAnsiTheme="minorHAnsi" w:cstheme="minorHAnsi"/>
          <w:bCs/>
          <w:color w:val="auto"/>
          <w:szCs w:val="20"/>
          <w:lang w:val="en-US"/>
        </w:rPr>
        <w:t>ing</w:t>
      </w:r>
      <w:r w:rsidRPr="00F51B8B">
        <w:rPr>
          <w:rFonts w:asciiTheme="minorHAnsi" w:hAnsiTheme="minorHAnsi" w:cstheme="minorHAnsi"/>
          <w:bCs/>
          <w:color w:val="auto"/>
          <w:szCs w:val="20"/>
          <w:lang w:val="en-US"/>
        </w:rPr>
        <w:t xml:space="preserve"> to 24.7% (H1 2022: 24.4%)</w:t>
      </w:r>
      <w:r w:rsidR="009330EB">
        <w:rPr>
          <w:rFonts w:asciiTheme="minorHAnsi" w:hAnsiTheme="minorHAnsi" w:cstheme="minorHAnsi"/>
          <w:bCs/>
          <w:color w:val="auto"/>
          <w:szCs w:val="20"/>
          <w:lang w:val="en-US"/>
        </w:rPr>
        <w:t xml:space="preserve">, driven by </w:t>
      </w:r>
      <w:r w:rsidRPr="00F51B8B">
        <w:rPr>
          <w:rFonts w:asciiTheme="minorHAnsi" w:hAnsiTheme="minorHAnsi" w:cstheme="minorHAnsi"/>
          <w:bCs/>
          <w:color w:val="auto"/>
          <w:szCs w:val="20"/>
          <w:lang w:val="en-US"/>
        </w:rPr>
        <w:t>online sales</w:t>
      </w:r>
      <w:r>
        <w:rPr>
          <w:rFonts w:asciiTheme="minorHAnsi" w:hAnsiTheme="minorHAnsi" w:cstheme="minorHAnsi"/>
          <w:bCs/>
          <w:color w:val="auto"/>
          <w:szCs w:val="20"/>
          <w:lang w:val="en-US"/>
        </w:rPr>
        <w:t xml:space="preserve"> </w:t>
      </w:r>
      <w:proofErr w:type="gramStart"/>
      <w:r>
        <w:rPr>
          <w:rFonts w:asciiTheme="minorHAnsi" w:hAnsiTheme="minorHAnsi" w:cstheme="minorHAnsi"/>
          <w:bCs/>
          <w:color w:val="auto"/>
          <w:szCs w:val="20"/>
          <w:lang w:val="en-US"/>
        </w:rPr>
        <w:t>growth</w:t>
      </w:r>
      <w:proofErr w:type="gramEnd"/>
    </w:p>
    <w:p w14:paraId="796D2E51" w14:textId="270C9A29" w:rsidR="0047121F" w:rsidRPr="006D26BB" w:rsidRDefault="0047121F" w:rsidP="002340A1">
      <w:pPr>
        <w:pStyle w:val="BodyBullets"/>
        <w:spacing w:before="0" w:after="0" w:line="240" w:lineRule="auto"/>
        <w:ind w:left="568" w:hanging="284"/>
        <w:jc w:val="both"/>
        <w:rPr>
          <w:rFonts w:asciiTheme="minorHAnsi" w:hAnsiTheme="minorHAnsi" w:cstheme="minorHAnsi"/>
          <w:bCs/>
          <w:color w:val="000000" w:themeColor="text1"/>
          <w:szCs w:val="20"/>
          <w:lang w:val="en-GB"/>
        </w:rPr>
      </w:pPr>
      <w:r w:rsidRPr="006D26BB">
        <w:rPr>
          <w:rFonts w:asciiTheme="minorHAnsi" w:hAnsiTheme="minorHAnsi" w:cstheme="minorHAnsi"/>
          <w:bCs/>
          <w:color w:val="000000" w:themeColor="text1"/>
          <w:szCs w:val="20"/>
          <w:lang w:val="en-GB"/>
        </w:rPr>
        <w:t>Adjusted EBITDA*</w:t>
      </w:r>
      <w:r w:rsidR="00AC3DFC">
        <w:rPr>
          <w:rFonts w:asciiTheme="minorHAnsi" w:hAnsiTheme="minorHAnsi" w:cstheme="minorHAnsi"/>
          <w:bCs/>
          <w:color w:val="000000" w:themeColor="text1"/>
          <w:szCs w:val="20"/>
          <w:lang w:val="en-GB"/>
        </w:rPr>
        <w:t>*</w:t>
      </w:r>
      <w:r w:rsidRPr="006D26BB">
        <w:rPr>
          <w:rFonts w:asciiTheme="minorHAnsi" w:hAnsiTheme="minorHAnsi" w:cstheme="minorHAnsi"/>
          <w:bCs/>
          <w:color w:val="000000" w:themeColor="text1"/>
          <w:szCs w:val="20"/>
          <w:vertAlign w:val="superscript"/>
          <w:lang w:val="en-GB"/>
        </w:rPr>
        <w:t xml:space="preserve"> </w:t>
      </w:r>
      <w:r w:rsidR="001525E0">
        <w:rPr>
          <w:rFonts w:asciiTheme="minorHAnsi" w:hAnsiTheme="minorHAnsi" w:cstheme="minorHAnsi"/>
          <w:bCs/>
          <w:color w:val="000000" w:themeColor="text1"/>
          <w:szCs w:val="20"/>
          <w:lang w:val="en-GB"/>
        </w:rPr>
        <w:t xml:space="preserve">resilient </w:t>
      </w:r>
      <w:r w:rsidR="00874F6A" w:rsidRPr="006D26BB">
        <w:rPr>
          <w:rFonts w:asciiTheme="minorHAnsi" w:hAnsiTheme="minorHAnsi" w:cstheme="minorHAnsi"/>
          <w:bCs/>
          <w:color w:val="000000" w:themeColor="text1"/>
          <w:szCs w:val="20"/>
          <w:lang w:val="en-GB"/>
        </w:rPr>
        <w:t>at</w:t>
      </w:r>
      <w:r w:rsidRPr="006D26BB">
        <w:rPr>
          <w:rFonts w:asciiTheme="minorHAnsi" w:hAnsiTheme="minorHAnsi" w:cstheme="minorHAnsi"/>
          <w:bCs/>
          <w:color w:val="000000" w:themeColor="text1"/>
          <w:szCs w:val="20"/>
          <w:lang w:val="en-GB"/>
        </w:rPr>
        <w:t xml:space="preserve"> £</w:t>
      </w:r>
      <w:bookmarkStart w:id="2" w:name="_Hlk116661098"/>
      <w:r w:rsidR="00874F6A" w:rsidRPr="006D26BB">
        <w:rPr>
          <w:rFonts w:asciiTheme="minorHAnsi" w:hAnsiTheme="minorHAnsi" w:cstheme="minorHAnsi"/>
          <w:bCs/>
          <w:color w:val="000000" w:themeColor="text1"/>
          <w:szCs w:val="20"/>
          <w:lang w:val="en-GB"/>
        </w:rPr>
        <w:t>11.2</w:t>
      </w:r>
      <w:r w:rsidRPr="006D26BB">
        <w:rPr>
          <w:rFonts w:asciiTheme="minorHAnsi" w:hAnsiTheme="minorHAnsi" w:cstheme="minorHAnsi"/>
          <w:bCs/>
          <w:color w:val="000000" w:themeColor="text1"/>
          <w:szCs w:val="20"/>
          <w:lang w:val="en-GB"/>
        </w:rPr>
        <w:t>m (</w:t>
      </w:r>
      <w:bookmarkStart w:id="3" w:name="_Hlk126132891"/>
      <w:r w:rsidRPr="006D26BB">
        <w:rPr>
          <w:rFonts w:asciiTheme="minorHAnsi" w:hAnsiTheme="minorHAnsi" w:cstheme="minorHAnsi"/>
          <w:bCs/>
          <w:color w:val="000000" w:themeColor="text1"/>
          <w:szCs w:val="20"/>
          <w:lang w:val="en-GB"/>
        </w:rPr>
        <w:t>H1 2022</w:t>
      </w:r>
      <w:bookmarkEnd w:id="3"/>
      <w:r w:rsidRPr="006D26BB">
        <w:rPr>
          <w:rFonts w:asciiTheme="minorHAnsi" w:hAnsiTheme="minorHAnsi" w:cstheme="minorHAnsi"/>
          <w:bCs/>
          <w:color w:val="000000" w:themeColor="text1"/>
          <w:szCs w:val="20"/>
          <w:lang w:val="en-GB"/>
        </w:rPr>
        <w:t>: £1</w:t>
      </w:r>
      <w:r w:rsidR="00F31E20" w:rsidRPr="006D26BB">
        <w:rPr>
          <w:rFonts w:asciiTheme="minorHAnsi" w:hAnsiTheme="minorHAnsi" w:cstheme="minorHAnsi"/>
          <w:bCs/>
          <w:color w:val="000000" w:themeColor="text1"/>
          <w:szCs w:val="20"/>
          <w:lang w:val="en-GB"/>
        </w:rPr>
        <w:t>1.2</w:t>
      </w:r>
      <w:r w:rsidRPr="006D26BB">
        <w:rPr>
          <w:rFonts w:asciiTheme="minorHAnsi" w:hAnsiTheme="minorHAnsi" w:cstheme="minorHAnsi"/>
          <w:bCs/>
          <w:color w:val="000000" w:themeColor="text1"/>
          <w:szCs w:val="20"/>
          <w:lang w:val="en-GB"/>
        </w:rPr>
        <w:t>m)</w:t>
      </w:r>
    </w:p>
    <w:bookmarkEnd w:id="2"/>
    <w:p w14:paraId="3D157B02" w14:textId="732264F7" w:rsidR="00BB25C4" w:rsidRDefault="00BB25C4" w:rsidP="002340A1">
      <w:pPr>
        <w:pStyle w:val="BodyBullets"/>
        <w:spacing w:before="0" w:after="0" w:line="240" w:lineRule="auto"/>
        <w:ind w:left="568" w:hanging="284"/>
        <w:jc w:val="both"/>
        <w:rPr>
          <w:rFonts w:asciiTheme="minorHAnsi" w:hAnsiTheme="minorHAnsi" w:cstheme="minorHAnsi"/>
          <w:bCs/>
          <w:color w:val="000000" w:themeColor="text1"/>
          <w:szCs w:val="20"/>
          <w:lang w:val="en-GB"/>
        </w:rPr>
      </w:pPr>
      <w:r>
        <w:rPr>
          <w:rFonts w:asciiTheme="minorHAnsi" w:hAnsiTheme="minorHAnsi" w:cstheme="minorHAnsi"/>
          <w:bCs/>
          <w:color w:val="000000" w:themeColor="text1"/>
          <w:szCs w:val="20"/>
          <w:lang w:val="en-GB"/>
        </w:rPr>
        <w:t>S</w:t>
      </w:r>
      <w:r w:rsidR="0047121F" w:rsidRPr="006D26BB">
        <w:rPr>
          <w:rFonts w:asciiTheme="minorHAnsi" w:hAnsiTheme="minorHAnsi" w:cstheme="minorHAnsi"/>
          <w:bCs/>
          <w:color w:val="000000" w:themeColor="text1"/>
          <w:szCs w:val="20"/>
          <w:lang w:val="en-GB"/>
        </w:rPr>
        <w:t xml:space="preserve">tatutory profit before tax </w:t>
      </w:r>
      <w:r w:rsidR="00874F6A" w:rsidRPr="006D26BB">
        <w:rPr>
          <w:rFonts w:asciiTheme="minorHAnsi" w:hAnsiTheme="minorHAnsi" w:cstheme="minorHAnsi"/>
          <w:bCs/>
          <w:color w:val="000000" w:themeColor="text1"/>
          <w:szCs w:val="20"/>
          <w:lang w:val="en-GB"/>
        </w:rPr>
        <w:t>down</w:t>
      </w:r>
      <w:r w:rsidR="0047121F" w:rsidRPr="006D26BB">
        <w:rPr>
          <w:rFonts w:asciiTheme="minorHAnsi" w:hAnsiTheme="minorHAnsi" w:cstheme="minorHAnsi"/>
          <w:bCs/>
          <w:color w:val="000000" w:themeColor="text1"/>
          <w:szCs w:val="20"/>
          <w:lang w:val="en-GB"/>
        </w:rPr>
        <w:t xml:space="preserve"> </w:t>
      </w:r>
      <w:r w:rsidR="00874F6A" w:rsidRPr="006D26BB">
        <w:rPr>
          <w:rFonts w:asciiTheme="minorHAnsi" w:hAnsiTheme="minorHAnsi" w:cstheme="minorHAnsi"/>
          <w:bCs/>
          <w:color w:val="000000" w:themeColor="text1"/>
          <w:szCs w:val="20"/>
          <w:lang w:val="en-GB"/>
        </w:rPr>
        <w:t>5</w:t>
      </w:r>
      <w:r w:rsidR="0047121F" w:rsidRPr="006D26BB">
        <w:rPr>
          <w:rFonts w:asciiTheme="minorHAnsi" w:hAnsiTheme="minorHAnsi" w:cstheme="minorHAnsi"/>
          <w:bCs/>
          <w:color w:val="000000" w:themeColor="text1"/>
          <w:szCs w:val="20"/>
          <w:lang w:val="en-GB"/>
        </w:rPr>
        <w:t>% to £</w:t>
      </w:r>
      <w:r w:rsidR="00874F6A" w:rsidRPr="006D26BB">
        <w:rPr>
          <w:rFonts w:asciiTheme="minorHAnsi" w:hAnsiTheme="minorHAnsi" w:cstheme="minorHAnsi"/>
          <w:bCs/>
          <w:color w:val="000000" w:themeColor="text1"/>
          <w:szCs w:val="20"/>
          <w:lang w:val="en-GB"/>
        </w:rPr>
        <w:t>9.3</w:t>
      </w:r>
      <w:r w:rsidR="0047121F" w:rsidRPr="006D26BB">
        <w:rPr>
          <w:rFonts w:asciiTheme="minorHAnsi" w:hAnsiTheme="minorHAnsi" w:cstheme="minorHAnsi"/>
          <w:bCs/>
          <w:color w:val="000000" w:themeColor="text1"/>
          <w:szCs w:val="20"/>
          <w:lang w:val="en-GB"/>
        </w:rPr>
        <w:t>m (</w:t>
      </w:r>
      <w:r w:rsidR="00CF0C2A" w:rsidRPr="006D26BB">
        <w:rPr>
          <w:rFonts w:asciiTheme="minorHAnsi" w:hAnsiTheme="minorHAnsi" w:cstheme="minorHAnsi"/>
          <w:bCs/>
          <w:color w:val="000000" w:themeColor="text1"/>
          <w:szCs w:val="20"/>
          <w:lang w:val="en-GB"/>
        </w:rPr>
        <w:t>H1 2022</w:t>
      </w:r>
      <w:r w:rsidR="0047121F" w:rsidRPr="006D26BB">
        <w:rPr>
          <w:rFonts w:asciiTheme="minorHAnsi" w:hAnsiTheme="minorHAnsi" w:cstheme="minorHAnsi"/>
          <w:bCs/>
          <w:color w:val="000000" w:themeColor="text1"/>
          <w:szCs w:val="20"/>
          <w:lang w:val="en-GB"/>
        </w:rPr>
        <w:t>: £9.</w:t>
      </w:r>
      <w:r w:rsidR="00874F6A" w:rsidRPr="006D26BB">
        <w:rPr>
          <w:rFonts w:asciiTheme="minorHAnsi" w:hAnsiTheme="minorHAnsi" w:cstheme="minorHAnsi"/>
          <w:bCs/>
          <w:color w:val="000000" w:themeColor="text1"/>
          <w:szCs w:val="20"/>
          <w:lang w:val="en-GB"/>
        </w:rPr>
        <w:t>8</w:t>
      </w:r>
      <w:r w:rsidR="0047121F" w:rsidRPr="006D26BB">
        <w:rPr>
          <w:rFonts w:asciiTheme="minorHAnsi" w:hAnsiTheme="minorHAnsi" w:cstheme="minorHAnsi"/>
          <w:bCs/>
          <w:color w:val="000000" w:themeColor="text1"/>
          <w:szCs w:val="20"/>
          <w:lang w:val="en-GB"/>
        </w:rPr>
        <w:t>m)</w:t>
      </w:r>
      <w:r>
        <w:rPr>
          <w:rFonts w:asciiTheme="minorHAnsi" w:hAnsiTheme="minorHAnsi" w:cstheme="minorHAnsi"/>
          <w:bCs/>
          <w:color w:val="000000" w:themeColor="text1"/>
          <w:szCs w:val="20"/>
          <w:lang w:val="en-GB"/>
        </w:rPr>
        <w:t xml:space="preserve">, </w:t>
      </w:r>
      <w:r w:rsidR="003D21AD">
        <w:rPr>
          <w:rFonts w:asciiTheme="minorHAnsi" w:hAnsiTheme="minorHAnsi" w:cstheme="minorHAnsi"/>
          <w:bCs/>
          <w:color w:val="000000" w:themeColor="text1"/>
          <w:szCs w:val="20"/>
          <w:lang w:val="en-GB"/>
        </w:rPr>
        <w:t>impacted by</w:t>
      </w:r>
      <w:r>
        <w:rPr>
          <w:rFonts w:asciiTheme="minorHAnsi" w:hAnsiTheme="minorHAnsi" w:cstheme="minorHAnsi"/>
          <w:bCs/>
          <w:color w:val="000000" w:themeColor="text1"/>
          <w:szCs w:val="20"/>
          <w:lang w:val="en-GB"/>
        </w:rPr>
        <w:t xml:space="preserve"> higher interest rates and the Group’s Head Office investment </w:t>
      </w:r>
      <w:r w:rsidR="00C63DCB">
        <w:rPr>
          <w:rFonts w:asciiTheme="minorHAnsi" w:hAnsiTheme="minorHAnsi" w:cstheme="minorHAnsi"/>
          <w:bCs/>
          <w:color w:val="000000" w:themeColor="text1"/>
          <w:szCs w:val="20"/>
          <w:lang w:val="en-GB"/>
        </w:rPr>
        <w:t xml:space="preserve">increasing </w:t>
      </w:r>
      <w:r w:rsidR="009E7467">
        <w:rPr>
          <w:rFonts w:asciiTheme="minorHAnsi" w:hAnsiTheme="minorHAnsi" w:cstheme="minorHAnsi"/>
          <w:bCs/>
          <w:color w:val="000000" w:themeColor="text1"/>
          <w:szCs w:val="20"/>
          <w:lang w:val="en-GB"/>
        </w:rPr>
        <w:t xml:space="preserve">the </w:t>
      </w:r>
      <w:r w:rsidR="00C63DCB">
        <w:rPr>
          <w:rFonts w:asciiTheme="minorHAnsi" w:hAnsiTheme="minorHAnsi" w:cstheme="minorHAnsi"/>
          <w:bCs/>
          <w:color w:val="000000" w:themeColor="text1"/>
          <w:szCs w:val="20"/>
          <w:lang w:val="en-GB"/>
        </w:rPr>
        <w:t>depreciation</w:t>
      </w:r>
      <w:r w:rsidR="00B273C4">
        <w:rPr>
          <w:rFonts w:asciiTheme="minorHAnsi" w:hAnsiTheme="minorHAnsi" w:cstheme="minorHAnsi"/>
          <w:bCs/>
          <w:color w:val="000000" w:themeColor="text1"/>
          <w:szCs w:val="20"/>
          <w:lang w:val="en-GB"/>
        </w:rPr>
        <w:t xml:space="preserve"> </w:t>
      </w:r>
      <w:proofErr w:type="gramStart"/>
      <w:r w:rsidR="00B273C4">
        <w:rPr>
          <w:rFonts w:asciiTheme="minorHAnsi" w:hAnsiTheme="minorHAnsi" w:cstheme="minorHAnsi"/>
          <w:bCs/>
          <w:color w:val="000000" w:themeColor="text1"/>
          <w:szCs w:val="20"/>
          <w:lang w:val="en-GB"/>
        </w:rPr>
        <w:t>charge</w:t>
      </w:r>
      <w:proofErr w:type="gramEnd"/>
    </w:p>
    <w:p w14:paraId="6E4813ED" w14:textId="619EC59A" w:rsidR="0047121F" w:rsidRPr="006D26BB" w:rsidRDefault="0047121F" w:rsidP="002340A1">
      <w:pPr>
        <w:pStyle w:val="BodyBullets"/>
        <w:spacing w:before="0" w:after="0" w:line="240" w:lineRule="auto"/>
        <w:ind w:left="568" w:hanging="284"/>
        <w:jc w:val="both"/>
        <w:rPr>
          <w:rFonts w:asciiTheme="minorHAnsi" w:hAnsiTheme="minorHAnsi" w:cstheme="minorHAnsi"/>
          <w:bCs/>
          <w:color w:val="000000" w:themeColor="text1"/>
          <w:szCs w:val="20"/>
          <w:lang w:val="en-GB"/>
        </w:rPr>
      </w:pPr>
      <w:r w:rsidRPr="006D26BB">
        <w:rPr>
          <w:rFonts w:asciiTheme="minorHAnsi" w:hAnsiTheme="minorHAnsi" w:cstheme="minorHAnsi"/>
          <w:bCs/>
          <w:color w:val="000000" w:themeColor="text1"/>
          <w:szCs w:val="20"/>
          <w:lang w:val="en-GB"/>
        </w:rPr>
        <w:t>Adjusted profit before tax*</w:t>
      </w:r>
      <w:r w:rsidR="00AC3DFC">
        <w:rPr>
          <w:rFonts w:asciiTheme="minorHAnsi" w:hAnsiTheme="minorHAnsi" w:cstheme="minorHAnsi"/>
          <w:bCs/>
          <w:color w:val="000000" w:themeColor="text1"/>
          <w:szCs w:val="20"/>
          <w:lang w:val="en-GB"/>
        </w:rPr>
        <w:t>*</w:t>
      </w:r>
      <w:r w:rsidR="00874F6A" w:rsidRPr="006D26BB">
        <w:rPr>
          <w:rFonts w:asciiTheme="minorHAnsi" w:hAnsiTheme="minorHAnsi" w:cstheme="minorHAnsi"/>
          <w:bCs/>
          <w:color w:val="000000" w:themeColor="text1"/>
          <w:szCs w:val="20"/>
          <w:lang w:val="en-GB"/>
        </w:rPr>
        <w:t xml:space="preserve"> down 5%</w:t>
      </w:r>
      <w:r w:rsidRPr="006D26BB">
        <w:rPr>
          <w:rFonts w:asciiTheme="minorHAnsi" w:hAnsiTheme="minorHAnsi" w:cstheme="minorHAnsi"/>
          <w:bCs/>
          <w:color w:val="000000" w:themeColor="text1"/>
          <w:szCs w:val="20"/>
          <w:lang w:val="en-GB"/>
        </w:rPr>
        <w:t xml:space="preserve"> to £</w:t>
      </w:r>
      <w:r w:rsidR="00874F6A" w:rsidRPr="006D26BB">
        <w:rPr>
          <w:rFonts w:asciiTheme="minorHAnsi" w:hAnsiTheme="minorHAnsi" w:cstheme="minorHAnsi"/>
          <w:bCs/>
          <w:color w:val="000000" w:themeColor="text1"/>
          <w:szCs w:val="20"/>
          <w:lang w:val="en-GB"/>
        </w:rPr>
        <w:t>9.4</w:t>
      </w:r>
      <w:r w:rsidRPr="006D26BB">
        <w:rPr>
          <w:rFonts w:asciiTheme="minorHAnsi" w:hAnsiTheme="minorHAnsi" w:cstheme="minorHAnsi"/>
          <w:bCs/>
          <w:color w:val="000000" w:themeColor="text1"/>
          <w:szCs w:val="20"/>
          <w:lang w:val="en-GB"/>
        </w:rPr>
        <w:t>m (</w:t>
      </w:r>
      <w:r w:rsidR="00CF0C2A" w:rsidRPr="006D26BB">
        <w:rPr>
          <w:rFonts w:asciiTheme="minorHAnsi" w:hAnsiTheme="minorHAnsi" w:cstheme="minorHAnsi"/>
          <w:bCs/>
          <w:color w:val="000000" w:themeColor="text1"/>
          <w:szCs w:val="20"/>
          <w:lang w:val="en-GB"/>
        </w:rPr>
        <w:t>H1 2022</w:t>
      </w:r>
      <w:r w:rsidRPr="006D26BB">
        <w:rPr>
          <w:rFonts w:asciiTheme="minorHAnsi" w:hAnsiTheme="minorHAnsi" w:cstheme="minorHAnsi"/>
          <w:bCs/>
          <w:color w:val="000000" w:themeColor="text1"/>
          <w:szCs w:val="20"/>
          <w:lang w:val="en-GB"/>
        </w:rPr>
        <w:t>: £</w:t>
      </w:r>
      <w:r w:rsidR="00874F6A" w:rsidRPr="006D26BB">
        <w:rPr>
          <w:rFonts w:asciiTheme="minorHAnsi" w:hAnsiTheme="minorHAnsi" w:cstheme="minorHAnsi"/>
          <w:bCs/>
          <w:color w:val="000000" w:themeColor="text1"/>
          <w:szCs w:val="20"/>
          <w:lang w:val="en-GB"/>
        </w:rPr>
        <w:t>9.9</w:t>
      </w:r>
      <w:r w:rsidRPr="006D26BB">
        <w:rPr>
          <w:rFonts w:asciiTheme="minorHAnsi" w:hAnsiTheme="minorHAnsi" w:cstheme="minorHAnsi"/>
          <w:bCs/>
          <w:color w:val="000000" w:themeColor="text1"/>
          <w:szCs w:val="20"/>
          <w:lang w:val="en-GB"/>
        </w:rPr>
        <w:t>m)</w:t>
      </w:r>
    </w:p>
    <w:p w14:paraId="258FE185" w14:textId="7252573E" w:rsidR="0047121F" w:rsidRPr="009330EB" w:rsidRDefault="0047121F" w:rsidP="009330EB">
      <w:pPr>
        <w:pStyle w:val="BodyBullets"/>
        <w:spacing w:before="0" w:after="0" w:line="240" w:lineRule="auto"/>
        <w:ind w:left="568" w:hanging="284"/>
        <w:jc w:val="both"/>
        <w:rPr>
          <w:rFonts w:asciiTheme="minorHAnsi" w:hAnsiTheme="minorHAnsi" w:cstheme="minorHAnsi"/>
          <w:bCs/>
          <w:color w:val="000000" w:themeColor="text1"/>
          <w:szCs w:val="20"/>
          <w:lang w:val="en-GB"/>
        </w:rPr>
      </w:pPr>
      <w:r w:rsidRPr="006D26BB">
        <w:rPr>
          <w:rFonts w:asciiTheme="minorHAnsi" w:hAnsiTheme="minorHAnsi" w:cstheme="minorHAnsi"/>
          <w:bCs/>
          <w:color w:val="000000" w:themeColor="text1"/>
          <w:szCs w:val="20"/>
          <w:lang w:val="en-GB"/>
        </w:rPr>
        <w:t xml:space="preserve">Statutory EPS </w:t>
      </w:r>
      <w:r w:rsidR="00874F6A" w:rsidRPr="006D26BB">
        <w:rPr>
          <w:rFonts w:asciiTheme="minorHAnsi" w:hAnsiTheme="minorHAnsi" w:cstheme="minorHAnsi"/>
          <w:bCs/>
          <w:color w:val="000000" w:themeColor="text1"/>
          <w:szCs w:val="20"/>
          <w:lang w:val="en-GB"/>
        </w:rPr>
        <w:t>down 6%</w:t>
      </w:r>
      <w:r w:rsidRPr="006D26BB">
        <w:rPr>
          <w:rFonts w:asciiTheme="minorHAnsi" w:hAnsiTheme="minorHAnsi" w:cstheme="minorHAnsi"/>
          <w:bCs/>
          <w:color w:val="000000" w:themeColor="text1"/>
          <w:szCs w:val="20"/>
          <w:lang w:val="en-GB"/>
        </w:rPr>
        <w:t xml:space="preserve"> to </w:t>
      </w:r>
      <w:r w:rsidR="00874F6A" w:rsidRPr="006D26BB">
        <w:rPr>
          <w:rFonts w:asciiTheme="minorHAnsi" w:hAnsiTheme="minorHAnsi" w:cstheme="minorHAnsi"/>
          <w:bCs/>
          <w:color w:val="000000" w:themeColor="text1"/>
          <w:szCs w:val="20"/>
          <w:lang w:val="en-GB"/>
        </w:rPr>
        <w:t>8.4</w:t>
      </w:r>
      <w:r w:rsidRPr="006D26BB">
        <w:rPr>
          <w:rFonts w:asciiTheme="minorHAnsi" w:hAnsiTheme="minorHAnsi" w:cstheme="minorHAnsi"/>
          <w:bCs/>
          <w:color w:val="000000" w:themeColor="text1"/>
          <w:szCs w:val="20"/>
          <w:lang w:val="en-GB"/>
        </w:rPr>
        <w:t>p (</w:t>
      </w:r>
      <w:r w:rsidR="00CF0C2A" w:rsidRPr="006D26BB">
        <w:rPr>
          <w:rFonts w:asciiTheme="minorHAnsi" w:hAnsiTheme="minorHAnsi" w:cstheme="minorHAnsi"/>
          <w:bCs/>
          <w:color w:val="000000" w:themeColor="text1"/>
          <w:szCs w:val="20"/>
          <w:lang w:val="en-GB"/>
        </w:rPr>
        <w:t>H1 2022</w:t>
      </w:r>
      <w:r w:rsidRPr="006D26BB">
        <w:rPr>
          <w:rFonts w:asciiTheme="minorHAnsi" w:hAnsiTheme="minorHAnsi" w:cstheme="minorHAnsi"/>
          <w:bCs/>
          <w:color w:val="000000" w:themeColor="text1"/>
          <w:szCs w:val="20"/>
          <w:lang w:val="en-GB"/>
        </w:rPr>
        <w:t xml:space="preserve">: </w:t>
      </w:r>
      <w:r w:rsidR="00874F6A" w:rsidRPr="006D26BB">
        <w:rPr>
          <w:rFonts w:asciiTheme="minorHAnsi" w:hAnsiTheme="minorHAnsi" w:cstheme="minorHAnsi"/>
          <w:bCs/>
          <w:color w:val="000000" w:themeColor="text1"/>
          <w:szCs w:val="20"/>
          <w:lang w:val="en-GB"/>
        </w:rPr>
        <w:t>8.9</w:t>
      </w:r>
      <w:r w:rsidRPr="006D26BB">
        <w:rPr>
          <w:rFonts w:asciiTheme="minorHAnsi" w:hAnsiTheme="minorHAnsi" w:cstheme="minorHAnsi"/>
          <w:bCs/>
          <w:color w:val="000000" w:themeColor="text1"/>
          <w:szCs w:val="20"/>
          <w:lang w:val="en-GB"/>
        </w:rPr>
        <w:t>p)</w:t>
      </w:r>
      <w:r w:rsidR="009330EB">
        <w:rPr>
          <w:rFonts w:asciiTheme="minorHAnsi" w:hAnsiTheme="minorHAnsi" w:cstheme="minorHAnsi"/>
          <w:bCs/>
          <w:color w:val="000000" w:themeColor="text1"/>
          <w:szCs w:val="20"/>
          <w:lang w:val="en-GB"/>
        </w:rPr>
        <w:t xml:space="preserve">, with </w:t>
      </w:r>
      <w:r w:rsidRPr="009330EB">
        <w:rPr>
          <w:rFonts w:asciiTheme="minorHAnsi" w:hAnsiTheme="minorHAnsi" w:cstheme="minorHAnsi"/>
          <w:bCs/>
          <w:color w:val="000000" w:themeColor="text1"/>
          <w:szCs w:val="20"/>
          <w:lang w:val="en-GB"/>
        </w:rPr>
        <w:t>Adjusted EPS*</w:t>
      </w:r>
      <w:r w:rsidR="00AC3DFC">
        <w:rPr>
          <w:rFonts w:asciiTheme="minorHAnsi" w:hAnsiTheme="minorHAnsi" w:cstheme="minorHAnsi"/>
          <w:bCs/>
          <w:color w:val="000000" w:themeColor="text1"/>
          <w:szCs w:val="20"/>
          <w:lang w:val="en-GB"/>
        </w:rPr>
        <w:t>*</w:t>
      </w:r>
      <w:r w:rsidRPr="009330EB">
        <w:rPr>
          <w:rFonts w:asciiTheme="minorHAnsi" w:hAnsiTheme="minorHAnsi" w:cstheme="minorHAnsi"/>
          <w:bCs/>
          <w:color w:val="000000" w:themeColor="text1"/>
          <w:szCs w:val="20"/>
          <w:lang w:val="en-GB"/>
        </w:rPr>
        <w:t xml:space="preserve"> </w:t>
      </w:r>
      <w:r w:rsidR="00874F6A" w:rsidRPr="009330EB">
        <w:rPr>
          <w:rFonts w:asciiTheme="minorHAnsi" w:hAnsiTheme="minorHAnsi" w:cstheme="minorHAnsi"/>
          <w:bCs/>
          <w:color w:val="000000" w:themeColor="text1"/>
          <w:szCs w:val="20"/>
          <w:lang w:val="en-GB"/>
        </w:rPr>
        <w:t xml:space="preserve">down 5% </w:t>
      </w:r>
      <w:r w:rsidRPr="009330EB">
        <w:rPr>
          <w:rFonts w:asciiTheme="minorHAnsi" w:hAnsiTheme="minorHAnsi" w:cstheme="minorHAnsi"/>
          <w:bCs/>
          <w:color w:val="000000" w:themeColor="text1"/>
          <w:szCs w:val="20"/>
          <w:lang w:val="en-GB"/>
        </w:rPr>
        <w:t xml:space="preserve">to </w:t>
      </w:r>
      <w:r w:rsidR="00874F6A" w:rsidRPr="009330EB">
        <w:rPr>
          <w:rFonts w:asciiTheme="minorHAnsi" w:hAnsiTheme="minorHAnsi" w:cstheme="minorHAnsi"/>
          <w:bCs/>
          <w:color w:val="000000" w:themeColor="text1"/>
          <w:szCs w:val="20"/>
          <w:lang w:val="en-GB"/>
        </w:rPr>
        <w:t>8.6</w:t>
      </w:r>
      <w:r w:rsidRPr="009330EB">
        <w:rPr>
          <w:rFonts w:asciiTheme="minorHAnsi" w:hAnsiTheme="minorHAnsi" w:cstheme="minorHAnsi"/>
          <w:bCs/>
          <w:color w:val="000000" w:themeColor="text1"/>
          <w:szCs w:val="20"/>
          <w:lang w:val="en-GB"/>
        </w:rPr>
        <w:t>p (</w:t>
      </w:r>
      <w:r w:rsidR="00CF0C2A" w:rsidRPr="009330EB">
        <w:rPr>
          <w:rFonts w:asciiTheme="minorHAnsi" w:hAnsiTheme="minorHAnsi" w:cstheme="minorHAnsi"/>
          <w:bCs/>
          <w:color w:val="000000" w:themeColor="text1"/>
          <w:szCs w:val="20"/>
          <w:lang w:val="en-GB"/>
        </w:rPr>
        <w:t>H1 2022</w:t>
      </w:r>
      <w:r w:rsidRPr="009330EB">
        <w:rPr>
          <w:rFonts w:asciiTheme="minorHAnsi" w:hAnsiTheme="minorHAnsi" w:cstheme="minorHAnsi"/>
          <w:bCs/>
          <w:color w:val="000000" w:themeColor="text1"/>
          <w:szCs w:val="20"/>
          <w:lang w:val="en-GB"/>
        </w:rPr>
        <w:t xml:space="preserve">: </w:t>
      </w:r>
      <w:r w:rsidR="00874F6A" w:rsidRPr="009330EB">
        <w:rPr>
          <w:rFonts w:asciiTheme="minorHAnsi" w:hAnsiTheme="minorHAnsi" w:cstheme="minorHAnsi"/>
          <w:bCs/>
          <w:color w:val="000000" w:themeColor="text1"/>
          <w:szCs w:val="20"/>
          <w:lang w:val="en-GB"/>
        </w:rPr>
        <w:t>9.1</w:t>
      </w:r>
      <w:r w:rsidRPr="009330EB">
        <w:rPr>
          <w:rFonts w:asciiTheme="minorHAnsi" w:hAnsiTheme="minorHAnsi" w:cstheme="minorHAnsi"/>
          <w:bCs/>
          <w:color w:val="000000" w:themeColor="text1"/>
          <w:szCs w:val="20"/>
          <w:lang w:val="en-GB"/>
        </w:rPr>
        <w:t>p)</w:t>
      </w:r>
    </w:p>
    <w:p w14:paraId="1BCB6E01" w14:textId="241ACEFE" w:rsidR="0047121F" w:rsidRPr="006D26BB" w:rsidRDefault="00BB25C4" w:rsidP="002340A1">
      <w:pPr>
        <w:pStyle w:val="BodyBullets"/>
        <w:spacing w:before="0" w:after="0" w:line="240" w:lineRule="auto"/>
        <w:ind w:left="568" w:hanging="284"/>
        <w:jc w:val="both"/>
        <w:rPr>
          <w:rFonts w:asciiTheme="minorHAnsi" w:hAnsiTheme="minorHAnsi" w:cstheme="minorHAnsi"/>
          <w:bCs/>
          <w:color w:val="000000" w:themeColor="text1"/>
          <w:szCs w:val="20"/>
          <w:lang w:val="en-GB"/>
        </w:rPr>
      </w:pPr>
      <w:r>
        <w:rPr>
          <w:rFonts w:asciiTheme="minorHAnsi" w:hAnsiTheme="minorHAnsi" w:cstheme="minorHAnsi"/>
          <w:bCs/>
          <w:color w:val="000000" w:themeColor="text1"/>
          <w:szCs w:val="20"/>
          <w:lang w:val="en-GB"/>
        </w:rPr>
        <w:t>I</w:t>
      </w:r>
      <w:r w:rsidR="00F21F0D" w:rsidRPr="006D26BB">
        <w:rPr>
          <w:rFonts w:asciiTheme="minorHAnsi" w:hAnsiTheme="minorHAnsi" w:cstheme="minorHAnsi"/>
          <w:bCs/>
          <w:color w:val="000000" w:themeColor="text1"/>
          <w:szCs w:val="20"/>
          <w:lang w:val="en-GB"/>
        </w:rPr>
        <w:t>nterim</w:t>
      </w:r>
      <w:r w:rsidR="0047121F" w:rsidRPr="006D26BB">
        <w:rPr>
          <w:rFonts w:asciiTheme="minorHAnsi" w:hAnsiTheme="minorHAnsi" w:cstheme="minorHAnsi"/>
          <w:bCs/>
          <w:color w:val="000000" w:themeColor="text1"/>
          <w:szCs w:val="20"/>
          <w:lang w:val="en-GB"/>
        </w:rPr>
        <w:t xml:space="preserve"> dividend per share up </w:t>
      </w:r>
      <w:r w:rsidR="00F21F0D" w:rsidRPr="006D26BB">
        <w:rPr>
          <w:rFonts w:asciiTheme="minorHAnsi" w:hAnsiTheme="minorHAnsi" w:cstheme="minorHAnsi"/>
          <w:bCs/>
          <w:color w:val="000000" w:themeColor="text1"/>
          <w:szCs w:val="20"/>
          <w:lang w:val="en-GB"/>
        </w:rPr>
        <w:t>6</w:t>
      </w:r>
      <w:r w:rsidR="0047121F" w:rsidRPr="006D26BB">
        <w:rPr>
          <w:rFonts w:asciiTheme="minorHAnsi" w:hAnsiTheme="minorHAnsi" w:cstheme="minorHAnsi"/>
          <w:bCs/>
          <w:color w:val="000000" w:themeColor="text1"/>
          <w:szCs w:val="20"/>
          <w:lang w:val="en-GB"/>
        </w:rPr>
        <w:t xml:space="preserve">% to </w:t>
      </w:r>
      <w:r w:rsidR="00F21F0D" w:rsidRPr="006D26BB">
        <w:rPr>
          <w:rFonts w:asciiTheme="minorHAnsi" w:hAnsiTheme="minorHAnsi" w:cstheme="minorHAnsi"/>
          <w:bCs/>
          <w:color w:val="000000" w:themeColor="text1"/>
          <w:szCs w:val="20"/>
          <w:lang w:val="en-GB"/>
        </w:rPr>
        <w:t>2.43</w:t>
      </w:r>
      <w:r w:rsidR="0047121F" w:rsidRPr="006D26BB">
        <w:rPr>
          <w:rFonts w:asciiTheme="minorHAnsi" w:hAnsiTheme="minorHAnsi" w:cstheme="minorHAnsi"/>
          <w:bCs/>
          <w:color w:val="000000" w:themeColor="text1"/>
          <w:szCs w:val="20"/>
          <w:lang w:val="en-GB"/>
        </w:rPr>
        <w:t>p (</w:t>
      </w:r>
      <w:r w:rsidR="00CF0C2A" w:rsidRPr="006D26BB">
        <w:rPr>
          <w:rFonts w:asciiTheme="minorHAnsi" w:hAnsiTheme="minorHAnsi" w:cstheme="minorHAnsi"/>
          <w:bCs/>
          <w:color w:val="000000" w:themeColor="text1"/>
          <w:szCs w:val="20"/>
          <w:lang w:val="en-GB"/>
        </w:rPr>
        <w:t>H1 2022</w:t>
      </w:r>
      <w:r w:rsidR="0047121F" w:rsidRPr="006D26BB">
        <w:rPr>
          <w:rFonts w:asciiTheme="minorHAnsi" w:hAnsiTheme="minorHAnsi" w:cstheme="minorHAnsi"/>
          <w:bCs/>
          <w:color w:val="000000" w:themeColor="text1"/>
          <w:szCs w:val="20"/>
          <w:lang w:val="en-GB"/>
        </w:rPr>
        <w:t xml:space="preserve">: </w:t>
      </w:r>
      <w:r w:rsidR="00F21F0D" w:rsidRPr="006D26BB">
        <w:rPr>
          <w:rFonts w:asciiTheme="minorHAnsi" w:hAnsiTheme="minorHAnsi" w:cstheme="minorHAnsi"/>
          <w:bCs/>
          <w:color w:val="000000" w:themeColor="text1"/>
          <w:szCs w:val="20"/>
          <w:lang w:val="en-GB"/>
        </w:rPr>
        <w:t>2.30</w:t>
      </w:r>
      <w:r w:rsidR="0047121F" w:rsidRPr="006D26BB">
        <w:rPr>
          <w:rFonts w:asciiTheme="minorHAnsi" w:hAnsiTheme="minorHAnsi" w:cstheme="minorHAnsi"/>
          <w:bCs/>
          <w:color w:val="000000" w:themeColor="text1"/>
          <w:szCs w:val="20"/>
          <w:lang w:val="en-GB"/>
        </w:rPr>
        <w:t>p)</w:t>
      </w:r>
    </w:p>
    <w:p w14:paraId="6647E92A" w14:textId="54301AA8" w:rsidR="0047121F" w:rsidRPr="002340A1" w:rsidRDefault="00F451FC" w:rsidP="00287A79">
      <w:pPr>
        <w:pStyle w:val="BodyBullets"/>
        <w:spacing w:before="0" w:after="0" w:line="240" w:lineRule="auto"/>
        <w:ind w:left="568" w:hanging="284"/>
        <w:jc w:val="both"/>
        <w:rPr>
          <w:rFonts w:asciiTheme="minorHAnsi" w:hAnsiTheme="minorHAnsi" w:cstheme="minorHAnsi"/>
          <w:bCs/>
          <w:color w:val="000000" w:themeColor="text1"/>
          <w:szCs w:val="20"/>
          <w:lang w:val="en-GB"/>
        </w:rPr>
      </w:pPr>
      <w:r>
        <w:rPr>
          <w:rFonts w:asciiTheme="minorHAnsi" w:hAnsiTheme="minorHAnsi" w:cstheme="minorHAnsi"/>
          <w:color w:val="000000" w:themeColor="text1"/>
          <w:szCs w:val="20"/>
          <w:lang w:val="en-GB"/>
        </w:rPr>
        <w:t>Improve</w:t>
      </w:r>
      <w:r w:rsidR="001B02A1">
        <w:rPr>
          <w:rFonts w:asciiTheme="minorHAnsi" w:hAnsiTheme="minorHAnsi" w:cstheme="minorHAnsi"/>
          <w:color w:val="000000" w:themeColor="text1"/>
          <w:szCs w:val="20"/>
          <w:lang w:val="en-GB"/>
        </w:rPr>
        <w:t>d</w:t>
      </w:r>
      <w:r>
        <w:rPr>
          <w:rFonts w:asciiTheme="minorHAnsi" w:hAnsiTheme="minorHAnsi" w:cstheme="minorHAnsi"/>
          <w:color w:val="000000" w:themeColor="text1"/>
          <w:szCs w:val="20"/>
          <w:lang w:val="en-GB"/>
        </w:rPr>
        <w:t xml:space="preserve"> n</w:t>
      </w:r>
      <w:r w:rsidR="0047121F" w:rsidRPr="006D26BB">
        <w:rPr>
          <w:rFonts w:asciiTheme="minorHAnsi" w:hAnsiTheme="minorHAnsi" w:cstheme="minorHAnsi"/>
          <w:color w:val="000000" w:themeColor="text1"/>
          <w:szCs w:val="20"/>
        </w:rPr>
        <w:t>et bank debt/adjusted EBITDA</w:t>
      </w:r>
      <w:r w:rsidR="0047121F" w:rsidRPr="006D26BB">
        <w:rPr>
          <w:rFonts w:asciiTheme="minorHAnsi" w:hAnsiTheme="minorHAnsi" w:cstheme="minorHAnsi"/>
          <w:color w:val="000000" w:themeColor="text1"/>
          <w:szCs w:val="20"/>
          <w:lang w:val="en-GB"/>
        </w:rPr>
        <w:t>*</w:t>
      </w:r>
      <w:r w:rsidR="00AC3DFC">
        <w:rPr>
          <w:rFonts w:asciiTheme="minorHAnsi" w:hAnsiTheme="minorHAnsi" w:cstheme="minorHAnsi"/>
          <w:color w:val="000000" w:themeColor="text1"/>
          <w:szCs w:val="20"/>
          <w:lang w:val="en-GB"/>
        </w:rPr>
        <w:t>*</w:t>
      </w:r>
      <w:r w:rsidR="0047121F" w:rsidRPr="006D26BB">
        <w:rPr>
          <w:rFonts w:asciiTheme="minorHAnsi" w:hAnsiTheme="minorHAnsi" w:cstheme="minorHAnsi"/>
          <w:color w:val="000000" w:themeColor="text1"/>
          <w:szCs w:val="20"/>
        </w:rPr>
        <w:t xml:space="preserve"> ratio of </w:t>
      </w:r>
      <w:r w:rsidR="004F3530" w:rsidRPr="006D26BB">
        <w:rPr>
          <w:rFonts w:asciiTheme="minorHAnsi" w:hAnsiTheme="minorHAnsi" w:cstheme="minorHAnsi"/>
          <w:color w:val="000000" w:themeColor="text1"/>
          <w:szCs w:val="20"/>
          <w:lang w:val="en-GB"/>
        </w:rPr>
        <w:t>1.</w:t>
      </w:r>
      <w:r w:rsidR="005C1CFC" w:rsidRPr="006D26BB">
        <w:rPr>
          <w:rFonts w:asciiTheme="minorHAnsi" w:hAnsiTheme="minorHAnsi" w:cstheme="minorHAnsi"/>
          <w:color w:val="000000" w:themeColor="text1"/>
          <w:szCs w:val="20"/>
          <w:lang w:val="en-GB"/>
        </w:rPr>
        <w:t>0</w:t>
      </w:r>
      <w:r w:rsidR="0047121F" w:rsidRPr="006D26BB">
        <w:rPr>
          <w:rFonts w:asciiTheme="minorHAnsi" w:hAnsiTheme="minorHAnsi" w:cstheme="minorHAnsi"/>
          <w:color w:val="000000" w:themeColor="text1"/>
          <w:szCs w:val="20"/>
        </w:rPr>
        <w:t>x (</w:t>
      </w:r>
      <w:r w:rsidR="00CF0C2A" w:rsidRPr="006D26BB">
        <w:rPr>
          <w:rFonts w:asciiTheme="minorHAnsi" w:hAnsiTheme="minorHAnsi" w:cstheme="minorHAnsi"/>
          <w:color w:val="000000" w:themeColor="text1"/>
          <w:szCs w:val="20"/>
          <w:lang w:val="en-GB"/>
        </w:rPr>
        <w:t>31 July 2022</w:t>
      </w:r>
      <w:r w:rsidR="0047121F" w:rsidRPr="006D26BB">
        <w:rPr>
          <w:rFonts w:asciiTheme="minorHAnsi" w:hAnsiTheme="minorHAnsi" w:cstheme="minorHAnsi"/>
          <w:color w:val="000000" w:themeColor="text1"/>
          <w:szCs w:val="20"/>
        </w:rPr>
        <w:t>: 1.</w:t>
      </w:r>
      <w:r w:rsidR="00CF0C2A" w:rsidRPr="006D26BB">
        <w:rPr>
          <w:rFonts w:asciiTheme="minorHAnsi" w:hAnsiTheme="minorHAnsi" w:cstheme="minorHAnsi"/>
          <w:color w:val="000000" w:themeColor="text1"/>
          <w:szCs w:val="20"/>
          <w:lang w:val="en-GB"/>
        </w:rPr>
        <w:t>3</w:t>
      </w:r>
      <w:r w:rsidR="0047121F" w:rsidRPr="006D26BB">
        <w:rPr>
          <w:rFonts w:asciiTheme="minorHAnsi" w:hAnsiTheme="minorHAnsi" w:cstheme="minorHAnsi"/>
          <w:color w:val="000000" w:themeColor="text1"/>
          <w:szCs w:val="20"/>
        </w:rPr>
        <w:t>x) </w:t>
      </w:r>
    </w:p>
    <w:p w14:paraId="2086522B" w14:textId="33AEB0F9" w:rsidR="00F451FC" w:rsidRPr="002A0B64" w:rsidRDefault="00F451FC" w:rsidP="00F451FC">
      <w:pPr>
        <w:pStyle w:val="BodyBullets"/>
        <w:spacing w:before="0" w:after="0" w:line="240" w:lineRule="auto"/>
        <w:ind w:left="568" w:hanging="284"/>
        <w:jc w:val="both"/>
        <w:rPr>
          <w:rFonts w:asciiTheme="minorHAnsi" w:hAnsiTheme="minorHAnsi" w:cstheme="minorHAnsi"/>
          <w:bCs/>
          <w:color w:val="000000" w:themeColor="text1"/>
          <w:szCs w:val="20"/>
          <w:lang w:val="en-GB"/>
        </w:rPr>
      </w:pPr>
      <w:r>
        <w:rPr>
          <w:rFonts w:asciiTheme="minorHAnsi" w:hAnsiTheme="minorHAnsi" w:cstheme="minorHAnsi"/>
          <w:bCs/>
          <w:color w:val="000000" w:themeColor="text1"/>
          <w:szCs w:val="20"/>
          <w:lang w:val="en-GB"/>
        </w:rPr>
        <w:t xml:space="preserve">Strong cash </w:t>
      </w:r>
      <w:r w:rsidRPr="00430C13">
        <w:rPr>
          <w:rFonts w:asciiTheme="minorHAnsi" w:hAnsiTheme="minorHAnsi" w:cstheme="minorHAnsi"/>
          <w:bCs/>
          <w:color w:val="000000" w:themeColor="text1"/>
          <w:szCs w:val="20"/>
          <w:lang w:val="en-GB"/>
        </w:rPr>
        <w:t>generat</w:t>
      </w:r>
      <w:r>
        <w:rPr>
          <w:rFonts w:asciiTheme="minorHAnsi" w:hAnsiTheme="minorHAnsi" w:cstheme="minorHAnsi"/>
          <w:bCs/>
          <w:color w:val="000000" w:themeColor="text1"/>
          <w:szCs w:val="20"/>
          <w:lang w:val="en-GB"/>
        </w:rPr>
        <w:t>ion</w:t>
      </w:r>
      <w:r w:rsidRPr="00430C13">
        <w:rPr>
          <w:rFonts w:asciiTheme="minorHAnsi" w:hAnsiTheme="minorHAnsi" w:cstheme="minorHAnsi"/>
          <w:bCs/>
          <w:color w:val="000000" w:themeColor="text1"/>
          <w:szCs w:val="20"/>
          <w:lang w:val="en-GB"/>
        </w:rPr>
        <w:t xml:space="preserve"> from operating activities of £12.</w:t>
      </w:r>
      <w:r w:rsidR="00A13EC0">
        <w:rPr>
          <w:rFonts w:asciiTheme="minorHAnsi" w:hAnsiTheme="minorHAnsi" w:cstheme="minorHAnsi"/>
          <w:bCs/>
          <w:color w:val="000000" w:themeColor="text1"/>
          <w:szCs w:val="20"/>
          <w:lang w:val="en-GB"/>
        </w:rPr>
        <w:t>8</w:t>
      </w:r>
      <w:r w:rsidRPr="00430C13">
        <w:rPr>
          <w:rFonts w:asciiTheme="minorHAnsi" w:hAnsiTheme="minorHAnsi" w:cstheme="minorHAnsi"/>
          <w:bCs/>
          <w:color w:val="000000" w:themeColor="text1"/>
          <w:szCs w:val="20"/>
          <w:lang w:val="en-GB"/>
        </w:rPr>
        <w:t>m (H1 2022: used cash of £5.</w:t>
      </w:r>
      <w:r w:rsidR="00A13EC0">
        <w:rPr>
          <w:rFonts w:asciiTheme="minorHAnsi" w:hAnsiTheme="minorHAnsi" w:cstheme="minorHAnsi"/>
          <w:bCs/>
          <w:color w:val="000000" w:themeColor="text1"/>
          <w:szCs w:val="20"/>
          <w:lang w:val="en-GB"/>
        </w:rPr>
        <w:t>0</w:t>
      </w:r>
      <w:r w:rsidRPr="00430C13">
        <w:rPr>
          <w:rFonts w:asciiTheme="minorHAnsi" w:hAnsiTheme="minorHAnsi" w:cstheme="minorHAnsi"/>
          <w:bCs/>
          <w:color w:val="000000" w:themeColor="text1"/>
          <w:szCs w:val="20"/>
          <w:lang w:val="en-GB"/>
        </w:rPr>
        <w:t xml:space="preserve">m), </w:t>
      </w:r>
      <w:r>
        <w:rPr>
          <w:rFonts w:asciiTheme="minorHAnsi" w:hAnsiTheme="minorHAnsi" w:cstheme="minorHAnsi"/>
          <w:bCs/>
          <w:color w:val="000000" w:themeColor="text1"/>
          <w:szCs w:val="20"/>
          <w:lang w:val="en-GB"/>
        </w:rPr>
        <w:t>representing</w:t>
      </w:r>
      <w:r w:rsidRPr="00430C13">
        <w:rPr>
          <w:rFonts w:asciiTheme="minorHAnsi" w:hAnsiTheme="minorHAnsi" w:cstheme="minorHAnsi"/>
          <w:bCs/>
          <w:color w:val="000000" w:themeColor="text1"/>
          <w:szCs w:val="20"/>
          <w:lang w:val="en-GB"/>
        </w:rPr>
        <w:t xml:space="preserve"> a 11</w:t>
      </w:r>
      <w:r w:rsidR="00A13EC0">
        <w:rPr>
          <w:rFonts w:asciiTheme="minorHAnsi" w:hAnsiTheme="minorHAnsi" w:cstheme="minorHAnsi"/>
          <w:bCs/>
          <w:color w:val="000000" w:themeColor="text1"/>
          <w:szCs w:val="20"/>
          <w:lang w:val="en-GB"/>
        </w:rPr>
        <w:t>4</w:t>
      </w:r>
      <w:r w:rsidRPr="00430C13">
        <w:rPr>
          <w:rFonts w:asciiTheme="minorHAnsi" w:hAnsiTheme="minorHAnsi" w:cstheme="minorHAnsi"/>
          <w:bCs/>
          <w:color w:val="000000" w:themeColor="text1"/>
          <w:szCs w:val="20"/>
          <w:lang w:val="en-GB"/>
        </w:rPr>
        <w:t xml:space="preserve">% operating cash </w:t>
      </w:r>
      <w:proofErr w:type="gramStart"/>
      <w:r w:rsidRPr="00430C13">
        <w:rPr>
          <w:rFonts w:asciiTheme="minorHAnsi" w:hAnsiTheme="minorHAnsi" w:cstheme="minorHAnsi"/>
          <w:bCs/>
          <w:color w:val="000000" w:themeColor="text1"/>
          <w:szCs w:val="20"/>
          <w:lang w:val="en-GB"/>
        </w:rPr>
        <w:t>conversion</w:t>
      </w:r>
      <w:proofErr w:type="gramEnd"/>
    </w:p>
    <w:p w14:paraId="3273F880" w14:textId="3D1C0A32" w:rsidR="0080552B" w:rsidRPr="006D26BB" w:rsidRDefault="0080552B" w:rsidP="00A031AF">
      <w:pPr>
        <w:pStyle w:val="BodyBullets"/>
        <w:spacing w:before="0" w:after="0" w:line="240" w:lineRule="auto"/>
        <w:ind w:left="568" w:hanging="284"/>
        <w:rPr>
          <w:rFonts w:asciiTheme="minorHAnsi" w:hAnsiTheme="minorHAnsi" w:cstheme="minorHAnsi"/>
          <w:bCs/>
          <w:color w:val="000000" w:themeColor="text1"/>
          <w:szCs w:val="20"/>
          <w:lang w:val="en-GB"/>
        </w:rPr>
      </w:pPr>
      <w:r>
        <w:rPr>
          <w:rFonts w:asciiTheme="minorHAnsi" w:hAnsiTheme="minorHAnsi" w:cstheme="minorHAnsi"/>
          <w:bCs/>
          <w:color w:val="000000" w:themeColor="text1"/>
          <w:szCs w:val="20"/>
          <w:lang w:val="en-GB"/>
        </w:rPr>
        <w:t>P</w:t>
      </w:r>
      <w:r w:rsidRPr="0080552B">
        <w:rPr>
          <w:rFonts w:asciiTheme="minorHAnsi" w:hAnsiTheme="minorHAnsi" w:cstheme="minorHAnsi"/>
          <w:bCs/>
          <w:color w:val="000000" w:themeColor="text1"/>
          <w:szCs w:val="20"/>
          <w:lang w:val="en-GB"/>
        </w:rPr>
        <w:t xml:space="preserve">erformance for FY23 </w:t>
      </w:r>
      <w:r w:rsidR="009330EB">
        <w:rPr>
          <w:rFonts w:asciiTheme="minorHAnsi" w:hAnsiTheme="minorHAnsi" w:cstheme="minorHAnsi"/>
          <w:bCs/>
          <w:color w:val="000000" w:themeColor="text1"/>
          <w:szCs w:val="20"/>
          <w:lang w:val="en-GB"/>
        </w:rPr>
        <w:t>anticipated</w:t>
      </w:r>
      <w:r>
        <w:rPr>
          <w:rFonts w:asciiTheme="minorHAnsi" w:hAnsiTheme="minorHAnsi" w:cstheme="minorHAnsi"/>
          <w:bCs/>
          <w:color w:val="000000" w:themeColor="text1"/>
          <w:szCs w:val="20"/>
          <w:lang w:val="en-GB"/>
        </w:rPr>
        <w:t xml:space="preserve"> to </w:t>
      </w:r>
      <w:r w:rsidRPr="0080552B">
        <w:rPr>
          <w:rFonts w:asciiTheme="minorHAnsi" w:hAnsiTheme="minorHAnsi" w:cstheme="minorHAnsi"/>
          <w:bCs/>
          <w:color w:val="000000" w:themeColor="text1"/>
          <w:szCs w:val="20"/>
          <w:lang w:val="en-GB"/>
        </w:rPr>
        <w:t xml:space="preserve">be in line with current market </w:t>
      </w:r>
      <w:proofErr w:type="gramStart"/>
      <w:r w:rsidRPr="0080552B">
        <w:rPr>
          <w:rFonts w:asciiTheme="minorHAnsi" w:hAnsiTheme="minorHAnsi" w:cstheme="minorHAnsi"/>
          <w:bCs/>
          <w:color w:val="000000" w:themeColor="text1"/>
          <w:szCs w:val="20"/>
          <w:lang w:val="en-GB"/>
        </w:rPr>
        <w:t>expectations</w:t>
      </w:r>
      <w:proofErr w:type="gramEnd"/>
      <w:r>
        <w:rPr>
          <w:rFonts w:asciiTheme="minorHAnsi" w:hAnsiTheme="minorHAnsi" w:cstheme="minorHAnsi"/>
          <w:bCs/>
          <w:color w:val="000000" w:themeColor="text1"/>
          <w:szCs w:val="20"/>
          <w:lang w:val="en-GB"/>
        </w:rPr>
        <w:t xml:space="preserve"> </w:t>
      </w:r>
    </w:p>
    <w:bookmarkEnd w:id="1"/>
    <w:p w14:paraId="68198CD3" w14:textId="77777777" w:rsidR="00BB25C4" w:rsidRDefault="00BB25C4" w:rsidP="00BD0800">
      <w:pPr>
        <w:pStyle w:val="ahp"/>
        <w:spacing w:before="0" w:beforeAutospacing="0" w:after="0" w:afterAutospacing="0"/>
        <w:jc w:val="both"/>
        <w:rPr>
          <w:rStyle w:val="agx"/>
          <w:rFonts w:asciiTheme="minorHAnsi" w:hAnsiTheme="minorHAnsi" w:cstheme="minorHAnsi"/>
          <w:i/>
          <w:iCs/>
          <w:color w:val="16202C"/>
          <w:sz w:val="20"/>
          <w:szCs w:val="20"/>
        </w:rPr>
      </w:pPr>
    </w:p>
    <w:p w14:paraId="543AB801" w14:textId="0D6B1316" w:rsidR="00AC3DFC" w:rsidRDefault="00AC3DFC" w:rsidP="00BD0800">
      <w:pPr>
        <w:pStyle w:val="ahp"/>
        <w:spacing w:before="0" w:beforeAutospacing="0" w:after="0" w:afterAutospacing="0"/>
        <w:jc w:val="both"/>
        <w:rPr>
          <w:rStyle w:val="agx"/>
          <w:rFonts w:asciiTheme="minorHAnsi" w:hAnsiTheme="minorHAnsi" w:cstheme="minorHAnsi"/>
          <w:i/>
          <w:iCs/>
          <w:color w:val="16202C"/>
          <w:sz w:val="20"/>
          <w:szCs w:val="20"/>
        </w:rPr>
      </w:pPr>
      <w:r>
        <w:rPr>
          <w:rStyle w:val="agx"/>
          <w:rFonts w:asciiTheme="minorHAnsi" w:hAnsiTheme="minorHAnsi" w:cstheme="minorHAnsi"/>
          <w:i/>
          <w:iCs/>
          <w:color w:val="16202C"/>
          <w:sz w:val="20"/>
          <w:szCs w:val="20"/>
        </w:rPr>
        <w:t>* Consensus market expectations for the financial year ending 31 July 2023 are revenues of £165.3m</w:t>
      </w:r>
      <w:r w:rsidR="00F504A9">
        <w:rPr>
          <w:rStyle w:val="agx"/>
          <w:rFonts w:asciiTheme="minorHAnsi" w:hAnsiTheme="minorHAnsi" w:cstheme="minorHAnsi"/>
          <w:i/>
          <w:iCs/>
          <w:color w:val="16202C"/>
          <w:sz w:val="20"/>
          <w:szCs w:val="20"/>
        </w:rPr>
        <w:t xml:space="preserve"> (</w:t>
      </w:r>
      <w:r w:rsidR="000A00C3">
        <w:rPr>
          <w:rStyle w:val="agx"/>
          <w:rFonts w:asciiTheme="minorHAnsi" w:hAnsiTheme="minorHAnsi" w:cstheme="minorHAnsi"/>
          <w:i/>
          <w:iCs/>
          <w:color w:val="16202C"/>
          <w:sz w:val="20"/>
          <w:szCs w:val="20"/>
        </w:rPr>
        <w:t xml:space="preserve">actual </w:t>
      </w:r>
      <w:r w:rsidR="00F504A9">
        <w:rPr>
          <w:rStyle w:val="agx"/>
          <w:rFonts w:asciiTheme="minorHAnsi" w:hAnsiTheme="minorHAnsi" w:cstheme="minorHAnsi"/>
          <w:i/>
          <w:iCs/>
          <w:color w:val="16202C"/>
          <w:sz w:val="20"/>
          <w:szCs w:val="20"/>
        </w:rPr>
        <w:t>FY22:</w:t>
      </w:r>
      <w:r w:rsidR="000A00C3">
        <w:rPr>
          <w:rStyle w:val="agx"/>
          <w:rFonts w:asciiTheme="minorHAnsi" w:hAnsiTheme="minorHAnsi" w:cstheme="minorHAnsi"/>
          <w:i/>
          <w:iCs/>
          <w:color w:val="16202C"/>
          <w:sz w:val="20"/>
          <w:szCs w:val="20"/>
        </w:rPr>
        <w:t xml:space="preserve"> </w:t>
      </w:r>
      <w:r w:rsidR="00F504A9">
        <w:rPr>
          <w:rStyle w:val="agx"/>
          <w:rFonts w:asciiTheme="minorHAnsi" w:hAnsiTheme="minorHAnsi" w:cstheme="minorHAnsi"/>
          <w:i/>
          <w:iCs/>
          <w:color w:val="16202C"/>
          <w:sz w:val="20"/>
          <w:szCs w:val="20"/>
        </w:rPr>
        <w:t>£154.2m)</w:t>
      </w:r>
      <w:r>
        <w:rPr>
          <w:rStyle w:val="agx"/>
          <w:rFonts w:asciiTheme="minorHAnsi" w:hAnsiTheme="minorHAnsi" w:cstheme="minorHAnsi"/>
          <w:i/>
          <w:iCs/>
          <w:color w:val="16202C"/>
          <w:sz w:val="20"/>
          <w:szCs w:val="20"/>
        </w:rPr>
        <w:t>, adjusted EBITDA of £20.1m</w:t>
      </w:r>
      <w:r w:rsidR="00F504A9">
        <w:rPr>
          <w:rStyle w:val="agx"/>
          <w:rFonts w:asciiTheme="minorHAnsi" w:hAnsiTheme="minorHAnsi" w:cstheme="minorHAnsi"/>
          <w:i/>
          <w:iCs/>
          <w:color w:val="16202C"/>
          <w:sz w:val="20"/>
          <w:szCs w:val="20"/>
        </w:rPr>
        <w:t xml:space="preserve"> (</w:t>
      </w:r>
      <w:r w:rsidR="000A00C3">
        <w:rPr>
          <w:rStyle w:val="agx"/>
          <w:rFonts w:asciiTheme="minorHAnsi" w:hAnsiTheme="minorHAnsi" w:cstheme="minorHAnsi"/>
          <w:i/>
          <w:iCs/>
          <w:color w:val="16202C"/>
          <w:sz w:val="20"/>
          <w:szCs w:val="20"/>
        </w:rPr>
        <w:t xml:space="preserve">actual </w:t>
      </w:r>
      <w:r w:rsidR="00F504A9">
        <w:rPr>
          <w:rStyle w:val="agx"/>
          <w:rFonts w:asciiTheme="minorHAnsi" w:hAnsiTheme="minorHAnsi" w:cstheme="minorHAnsi"/>
          <w:i/>
          <w:iCs/>
          <w:color w:val="16202C"/>
          <w:sz w:val="20"/>
          <w:szCs w:val="20"/>
        </w:rPr>
        <w:t>FY22: £18.8m)</w:t>
      </w:r>
      <w:r>
        <w:rPr>
          <w:rStyle w:val="agx"/>
          <w:rFonts w:asciiTheme="minorHAnsi" w:hAnsiTheme="minorHAnsi" w:cstheme="minorHAnsi"/>
          <w:i/>
          <w:iCs/>
          <w:color w:val="16202C"/>
          <w:sz w:val="20"/>
          <w:szCs w:val="20"/>
        </w:rPr>
        <w:t xml:space="preserve"> and adjusted EPS of 14.8p</w:t>
      </w:r>
      <w:r w:rsidR="00F504A9">
        <w:rPr>
          <w:rStyle w:val="agx"/>
          <w:rFonts w:asciiTheme="minorHAnsi" w:hAnsiTheme="minorHAnsi" w:cstheme="minorHAnsi"/>
          <w:i/>
          <w:iCs/>
          <w:color w:val="16202C"/>
          <w:sz w:val="20"/>
          <w:szCs w:val="20"/>
        </w:rPr>
        <w:t xml:space="preserve"> (</w:t>
      </w:r>
      <w:r w:rsidR="000A00C3">
        <w:rPr>
          <w:rStyle w:val="agx"/>
          <w:rFonts w:asciiTheme="minorHAnsi" w:hAnsiTheme="minorHAnsi" w:cstheme="minorHAnsi"/>
          <w:i/>
          <w:iCs/>
          <w:color w:val="16202C"/>
          <w:sz w:val="20"/>
          <w:szCs w:val="20"/>
        </w:rPr>
        <w:t xml:space="preserve">actual </w:t>
      </w:r>
      <w:r w:rsidR="00F504A9">
        <w:rPr>
          <w:rStyle w:val="agx"/>
          <w:rFonts w:asciiTheme="minorHAnsi" w:hAnsiTheme="minorHAnsi" w:cstheme="minorHAnsi"/>
          <w:i/>
          <w:iCs/>
          <w:color w:val="16202C"/>
          <w:sz w:val="20"/>
          <w:szCs w:val="20"/>
        </w:rPr>
        <w:t>FY22: 14.3p)</w:t>
      </w:r>
    </w:p>
    <w:p w14:paraId="3C705012" w14:textId="37BFCD7B" w:rsidR="00BD0800" w:rsidRPr="006D26BB" w:rsidRDefault="00BD0800" w:rsidP="00BD0800">
      <w:pPr>
        <w:pStyle w:val="ahp"/>
        <w:spacing w:before="0" w:beforeAutospacing="0" w:after="0" w:afterAutospacing="0"/>
        <w:jc w:val="both"/>
        <w:rPr>
          <w:rFonts w:asciiTheme="minorHAnsi" w:hAnsiTheme="minorHAnsi" w:cstheme="minorHAnsi"/>
          <w:color w:val="16202C"/>
          <w:sz w:val="20"/>
          <w:szCs w:val="20"/>
        </w:rPr>
      </w:pPr>
      <w:r w:rsidRPr="006D26BB">
        <w:rPr>
          <w:rStyle w:val="agx"/>
          <w:rFonts w:asciiTheme="minorHAnsi" w:hAnsiTheme="minorHAnsi" w:cstheme="minorHAnsi"/>
          <w:i/>
          <w:iCs/>
          <w:color w:val="16202C"/>
          <w:sz w:val="20"/>
          <w:szCs w:val="20"/>
        </w:rPr>
        <w:t>*</w:t>
      </w:r>
      <w:r w:rsidR="00AC3DFC">
        <w:rPr>
          <w:rStyle w:val="agx"/>
          <w:rFonts w:asciiTheme="minorHAnsi" w:hAnsiTheme="minorHAnsi" w:cstheme="minorHAnsi"/>
          <w:i/>
          <w:iCs/>
          <w:color w:val="16202C"/>
          <w:sz w:val="20"/>
          <w:szCs w:val="20"/>
        </w:rPr>
        <w:t>*</w:t>
      </w:r>
      <w:r w:rsidRPr="006D26BB">
        <w:rPr>
          <w:rStyle w:val="agx"/>
          <w:rFonts w:asciiTheme="minorHAnsi" w:hAnsiTheme="minorHAnsi" w:cstheme="minorHAnsi"/>
          <w:i/>
          <w:iCs/>
          <w:color w:val="16202C"/>
          <w:sz w:val="20"/>
          <w:szCs w:val="20"/>
        </w:rPr>
        <w:t>Adjusted measures are before share-based payment expense and non-recurring items.</w:t>
      </w:r>
    </w:p>
    <w:p w14:paraId="73A035AC" w14:textId="77777777" w:rsidR="00AE6A3E" w:rsidRPr="006D26BB" w:rsidRDefault="00AE6A3E" w:rsidP="0047121F">
      <w:pPr>
        <w:spacing w:after="0" w:line="240" w:lineRule="auto"/>
        <w:jc w:val="both"/>
        <w:rPr>
          <w:rFonts w:asciiTheme="minorHAnsi" w:hAnsiTheme="minorHAnsi" w:cstheme="minorHAnsi"/>
          <w:bCs/>
          <w:sz w:val="20"/>
          <w:szCs w:val="20"/>
        </w:rPr>
      </w:pPr>
    </w:p>
    <w:p w14:paraId="32534BE4" w14:textId="3A491DF2" w:rsidR="000C3D56" w:rsidRPr="006D26BB" w:rsidRDefault="00AE6A3E" w:rsidP="00846EEE">
      <w:pPr>
        <w:spacing w:after="0" w:line="240" w:lineRule="auto"/>
        <w:jc w:val="both"/>
        <w:rPr>
          <w:rFonts w:asciiTheme="minorHAnsi" w:hAnsiTheme="minorHAnsi" w:cstheme="minorHAnsi"/>
          <w:b/>
          <w:sz w:val="20"/>
          <w:szCs w:val="20"/>
          <w:highlight w:val="yellow"/>
        </w:rPr>
      </w:pPr>
      <w:r w:rsidRPr="006D26BB">
        <w:rPr>
          <w:rFonts w:asciiTheme="minorHAnsi" w:hAnsiTheme="minorHAnsi" w:cstheme="minorHAnsi"/>
          <w:b/>
          <w:sz w:val="20"/>
          <w:szCs w:val="20"/>
        </w:rPr>
        <w:t xml:space="preserve">Operational </w:t>
      </w:r>
      <w:r w:rsidR="00C36530">
        <w:rPr>
          <w:rFonts w:asciiTheme="minorHAnsi" w:hAnsiTheme="minorHAnsi" w:cstheme="minorHAnsi"/>
          <w:b/>
          <w:sz w:val="20"/>
          <w:szCs w:val="20"/>
        </w:rPr>
        <w:t>h</w:t>
      </w:r>
      <w:r w:rsidRPr="006D26BB">
        <w:rPr>
          <w:rFonts w:asciiTheme="minorHAnsi" w:hAnsiTheme="minorHAnsi" w:cstheme="minorHAnsi"/>
          <w:b/>
          <w:sz w:val="20"/>
          <w:szCs w:val="20"/>
        </w:rPr>
        <w:t>ighlights</w:t>
      </w:r>
    </w:p>
    <w:p w14:paraId="5FB4A211" w14:textId="5C8F459A" w:rsidR="00BD0800" w:rsidRPr="002340A1" w:rsidRDefault="00BD0800" w:rsidP="002340A1">
      <w:pPr>
        <w:pStyle w:val="ListParagraph"/>
        <w:numPr>
          <w:ilvl w:val="0"/>
          <w:numId w:val="62"/>
        </w:numPr>
        <w:spacing w:after="0" w:line="240" w:lineRule="auto"/>
        <w:jc w:val="both"/>
        <w:rPr>
          <w:rFonts w:asciiTheme="minorHAnsi" w:hAnsiTheme="minorHAnsi" w:cstheme="minorHAnsi"/>
          <w:bCs/>
          <w:sz w:val="20"/>
          <w:szCs w:val="20"/>
        </w:rPr>
      </w:pPr>
      <w:r w:rsidRPr="002340A1">
        <w:rPr>
          <w:rFonts w:asciiTheme="minorHAnsi" w:hAnsiTheme="minorHAnsi" w:cstheme="minorHAnsi"/>
          <w:bCs/>
          <w:sz w:val="20"/>
          <w:szCs w:val="20"/>
        </w:rPr>
        <w:t xml:space="preserve">Appointment of </w:t>
      </w:r>
      <w:r w:rsidR="009301C2" w:rsidRPr="002340A1">
        <w:rPr>
          <w:rFonts w:asciiTheme="minorHAnsi" w:hAnsiTheme="minorHAnsi" w:cstheme="minorHAnsi"/>
          <w:bCs/>
          <w:sz w:val="20"/>
          <w:szCs w:val="20"/>
        </w:rPr>
        <w:t xml:space="preserve">first dedicated </w:t>
      </w:r>
      <w:r w:rsidRPr="002340A1">
        <w:rPr>
          <w:rFonts w:asciiTheme="minorHAnsi" w:hAnsiTheme="minorHAnsi" w:cstheme="minorHAnsi"/>
          <w:bCs/>
          <w:sz w:val="20"/>
          <w:szCs w:val="20"/>
        </w:rPr>
        <w:t>Brand Director</w:t>
      </w:r>
    </w:p>
    <w:p w14:paraId="3959FCBA" w14:textId="23FB3000" w:rsidR="00F21F0D" w:rsidRPr="006D26BB" w:rsidRDefault="00F21F0D" w:rsidP="002340A1">
      <w:pPr>
        <w:pStyle w:val="ListParagraph"/>
        <w:numPr>
          <w:ilvl w:val="0"/>
          <w:numId w:val="62"/>
        </w:numPr>
        <w:spacing w:after="0" w:line="240" w:lineRule="auto"/>
        <w:jc w:val="both"/>
        <w:rPr>
          <w:rFonts w:asciiTheme="minorHAnsi" w:hAnsiTheme="minorHAnsi" w:cstheme="minorHAnsi"/>
          <w:bCs/>
          <w:sz w:val="20"/>
          <w:szCs w:val="20"/>
        </w:rPr>
      </w:pPr>
      <w:r w:rsidRPr="006D26BB">
        <w:rPr>
          <w:rFonts w:asciiTheme="minorHAnsi" w:hAnsiTheme="minorHAnsi" w:cstheme="minorHAnsi"/>
          <w:bCs/>
          <w:sz w:val="20"/>
          <w:szCs w:val="20"/>
        </w:rPr>
        <w:t>Succes</w:t>
      </w:r>
      <w:r w:rsidR="00DB6012">
        <w:rPr>
          <w:rFonts w:asciiTheme="minorHAnsi" w:hAnsiTheme="minorHAnsi" w:cstheme="minorHAnsi"/>
          <w:bCs/>
          <w:sz w:val="20"/>
          <w:szCs w:val="20"/>
        </w:rPr>
        <w:t>s</w:t>
      </w:r>
      <w:r w:rsidRPr="006D26BB">
        <w:rPr>
          <w:rFonts w:asciiTheme="minorHAnsi" w:hAnsiTheme="minorHAnsi" w:cstheme="minorHAnsi"/>
          <w:bCs/>
          <w:sz w:val="20"/>
          <w:szCs w:val="20"/>
        </w:rPr>
        <w:t>ful relaunch of Petra</w:t>
      </w:r>
      <w:r w:rsidR="00C36530">
        <w:rPr>
          <w:rFonts w:asciiTheme="minorHAnsi" w:hAnsiTheme="minorHAnsi" w:cstheme="minorHAnsi"/>
          <w:bCs/>
          <w:sz w:val="20"/>
          <w:szCs w:val="20"/>
        </w:rPr>
        <w:t xml:space="preserve">, </w:t>
      </w:r>
      <w:r w:rsidR="00C36530" w:rsidRPr="00C36530">
        <w:rPr>
          <w:rFonts w:asciiTheme="minorHAnsi" w:hAnsiTheme="minorHAnsi" w:cstheme="minorHAnsi"/>
          <w:bCs/>
          <w:sz w:val="20"/>
          <w:szCs w:val="20"/>
        </w:rPr>
        <w:t xml:space="preserve">the German kitchen electrical </w:t>
      </w:r>
      <w:r w:rsidR="00287A79">
        <w:rPr>
          <w:rFonts w:asciiTheme="minorHAnsi" w:hAnsiTheme="minorHAnsi" w:cstheme="minorHAnsi"/>
          <w:bCs/>
          <w:sz w:val="20"/>
          <w:szCs w:val="20"/>
        </w:rPr>
        <w:t>b</w:t>
      </w:r>
      <w:r w:rsidRPr="006D26BB">
        <w:rPr>
          <w:rFonts w:asciiTheme="minorHAnsi" w:hAnsiTheme="minorHAnsi" w:cstheme="minorHAnsi"/>
          <w:bCs/>
          <w:sz w:val="20"/>
          <w:szCs w:val="20"/>
        </w:rPr>
        <w:t>rand</w:t>
      </w:r>
      <w:r w:rsidR="00C36530">
        <w:rPr>
          <w:rFonts w:asciiTheme="minorHAnsi" w:hAnsiTheme="minorHAnsi" w:cstheme="minorHAnsi"/>
          <w:bCs/>
          <w:sz w:val="20"/>
          <w:szCs w:val="20"/>
        </w:rPr>
        <w:t>,</w:t>
      </w:r>
      <w:r w:rsidRPr="006D26BB">
        <w:rPr>
          <w:rFonts w:asciiTheme="minorHAnsi" w:hAnsiTheme="minorHAnsi" w:cstheme="minorHAnsi"/>
          <w:bCs/>
          <w:sz w:val="20"/>
          <w:szCs w:val="20"/>
        </w:rPr>
        <w:t xml:space="preserve"> into </w:t>
      </w:r>
      <w:r w:rsidR="00287A79">
        <w:rPr>
          <w:rFonts w:asciiTheme="minorHAnsi" w:hAnsiTheme="minorHAnsi" w:cstheme="minorHAnsi"/>
          <w:bCs/>
          <w:sz w:val="20"/>
          <w:szCs w:val="20"/>
        </w:rPr>
        <w:t xml:space="preserve">the </w:t>
      </w:r>
      <w:r w:rsidRPr="006D26BB">
        <w:rPr>
          <w:rFonts w:asciiTheme="minorHAnsi" w:hAnsiTheme="minorHAnsi" w:cstheme="minorHAnsi"/>
          <w:bCs/>
          <w:sz w:val="20"/>
          <w:szCs w:val="20"/>
        </w:rPr>
        <w:t>German</w:t>
      </w:r>
      <w:r w:rsidR="00287A79">
        <w:rPr>
          <w:rFonts w:asciiTheme="minorHAnsi" w:hAnsiTheme="minorHAnsi" w:cstheme="minorHAnsi"/>
          <w:bCs/>
          <w:sz w:val="20"/>
          <w:szCs w:val="20"/>
        </w:rPr>
        <w:t xml:space="preserve"> market</w:t>
      </w:r>
    </w:p>
    <w:p w14:paraId="21DC346C" w14:textId="766D2605" w:rsidR="00BD0800" w:rsidRPr="002340A1" w:rsidRDefault="00165EFE" w:rsidP="002340A1">
      <w:pPr>
        <w:pStyle w:val="ListParagraph"/>
        <w:numPr>
          <w:ilvl w:val="0"/>
          <w:numId w:val="62"/>
        </w:numPr>
        <w:spacing w:after="0" w:line="240" w:lineRule="auto"/>
        <w:jc w:val="both"/>
        <w:rPr>
          <w:rFonts w:asciiTheme="minorHAnsi" w:hAnsiTheme="minorHAnsi" w:cstheme="minorHAnsi"/>
          <w:bCs/>
          <w:sz w:val="20"/>
          <w:szCs w:val="20"/>
        </w:rPr>
      </w:pPr>
      <w:r>
        <w:rPr>
          <w:rFonts w:cs="Calibri"/>
          <w:color w:val="000000"/>
          <w:sz w:val="20"/>
          <w:szCs w:val="20"/>
        </w:rPr>
        <w:t>Renewal of the Group</w:t>
      </w:r>
      <w:r w:rsidR="00C36530">
        <w:rPr>
          <w:rFonts w:cs="Calibri"/>
          <w:color w:val="000000"/>
          <w:sz w:val="20"/>
          <w:szCs w:val="20"/>
        </w:rPr>
        <w:t>’</w:t>
      </w:r>
      <w:r>
        <w:rPr>
          <w:rFonts w:cs="Calibri"/>
          <w:color w:val="000000"/>
          <w:sz w:val="20"/>
          <w:szCs w:val="20"/>
        </w:rPr>
        <w:t>s Russell Hobbs licencing agreement on a rolling four-year basis</w:t>
      </w:r>
    </w:p>
    <w:p w14:paraId="4594A4AB" w14:textId="4D5FEFEF" w:rsidR="00BD0800" w:rsidRPr="008E5BAB" w:rsidRDefault="00BD0800" w:rsidP="002340A1">
      <w:pPr>
        <w:pStyle w:val="ListParagraph"/>
        <w:numPr>
          <w:ilvl w:val="0"/>
          <w:numId w:val="62"/>
        </w:numPr>
        <w:spacing w:after="0" w:line="240" w:lineRule="auto"/>
        <w:jc w:val="both"/>
        <w:rPr>
          <w:rFonts w:asciiTheme="minorHAnsi" w:hAnsiTheme="minorHAnsi" w:cstheme="minorHAnsi"/>
          <w:bCs/>
          <w:sz w:val="20"/>
          <w:szCs w:val="20"/>
        </w:rPr>
      </w:pPr>
      <w:r w:rsidRPr="008E5BAB">
        <w:rPr>
          <w:rFonts w:asciiTheme="minorHAnsi" w:hAnsiTheme="minorHAnsi" w:cstheme="minorHAnsi"/>
          <w:bCs/>
          <w:sz w:val="20"/>
          <w:szCs w:val="20"/>
        </w:rPr>
        <w:t xml:space="preserve">Launch of </w:t>
      </w:r>
      <w:r w:rsidR="006A4344" w:rsidRPr="008E5BAB">
        <w:rPr>
          <w:rFonts w:asciiTheme="minorHAnsi" w:hAnsiTheme="minorHAnsi" w:cstheme="minorHAnsi"/>
          <w:bCs/>
          <w:sz w:val="20"/>
          <w:szCs w:val="20"/>
        </w:rPr>
        <w:t xml:space="preserve">the Group’s inaugural </w:t>
      </w:r>
      <w:r w:rsidRPr="008E5BAB">
        <w:rPr>
          <w:rFonts w:asciiTheme="minorHAnsi" w:hAnsiTheme="minorHAnsi" w:cstheme="minorHAnsi"/>
          <w:bCs/>
          <w:sz w:val="20"/>
          <w:szCs w:val="20"/>
        </w:rPr>
        <w:t>ESG Strategy</w:t>
      </w:r>
      <w:r w:rsidR="000C3D56" w:rsidRPr="008E5BAB" w:rsidDel="006A4344">
        <w:rPr>
          <w:rFonts w:asciiTheme="minorHAnsi" w:hAnsiTheme="minorHAnsi" w:cstheme="minorHAnsi"/>
          <w:bCs/>
          <w:sz w:val="20"/>
          <w:szCs w:val="20"/>
        </w:rPr>
        <w:t xml:space="preserve"> </w:t>
      </w:r>
    </w:p>
    <w:p w14:paraId="3D2AA309" w14:textId="748485FA" w:rsidR="00BD0800" w:rsidRPr="008E5BAB" w:rsidRDefault="00BD0800" w:rsidP="000C3D56">
      <w:pPr>
        <w:pStyle w:val="ListParagraph"/>
        <w:numPr>
          <w:ilvl w:val="0"/>
          <w:numId w:val="62"/>
        </w:numPr>
        <w:spacing w:after="0" w:line="240" w:lineRule="auto"/>
        <w:jc w:val="both"/>
        <w:rPr>
          <w:rFonts w:asciiTheme="minorHAnsi" w:hAnsiTheme="minorHAnsi" w:cstheme="minorHAnsi"/>
          <w:bCs/>
          <w:sz w:val="20"/>
          <w:szCs w:val="20"/>
        </w:rPr>
      </w:pPr>
      <w:r w:rsidRPr="008E5BAB">
        <w:rPr>
          <w:rFonts w:asciiTheme="minorHAnsi" w:hAnsiTheme="minorHAnsi" w:cstheme="minorHAnsi"/>
          <w:bCs/>
          <w:sz w:val="20"/>
          <w:szCs w:val="20"/>
        </w:rPr>
        <w:t xml:space="preserve">Investment in </w:t>
      </w:r>
      <w:r w:rsidR="00056162" w:rsidRPr="008E5BAB">
        <w:rPr>
          <w:rFonts w:asciiTheme="minorHAnsi" w:hAnsiTheme="minorHAnsi" w:cstheme="minorHAnsi"/>
          <w:bCs/>
          <w:sz w:val="20"/>
          <w:szCs w:val="20"/>
        </w:rPr>
        <w:t>r</w:t>
      </w:r>
      <w:r w:rsidRPr="008E5BAB">
        <w:rPr>
          <w:rFonts w:asciiTheme="minorHAnsi" w:hAnsiTheme="minorHAnsi" w:cstheme="minorHAnsi"/>
          <w:bCs/>
          <w:sz w:val="20"/>
          <w:szCs w:val="20"/>
        </w:rPr>
        <w:t>obotics</w:t>
      </w:r>
      <w:r w:rsidR="009301C2" w:rsidRPr="008E5BAB">
        <w:rPr>
          <w:rFonts w:asciiTheme="minorHAnsi" w:hAnsiTheme="minorHAnsi" w:cstheme="minorHAnsi"/>
          <w:bCs/>
          <w:sz w:val="20"/>
          <w:szCs w:val="20"/>
        </w:rPr>
        <w:t xml:space="preserve"> </w:t>
      </w:r>
      <w:r w:rsidR="000C3D56" w:rsidRPr="008E5BAB">
        <w:rPr>
          <w:rFonts w:asciiTheme="minorHAnsi" w:hAnsiTheme="minorHAnsi" w:cstheme="minorHAnsi"/>
          <w:bCs/>
          <w:sz w:val="20"/>
          <w:szCs w:val="20"/>
        </w:rPr>
        <w:t xml:space="preserve">yielding </w:t>
      </w:r>
      <w:r w:rsidR="009E7467">
        <w:rPr>
          <w:rFonts w:asciiTheme="minorHAnsi" w:hAnsiTheme="minorHAnsi" w:cstheme="minorHAnsi"/>
          <w:bCs/>
          <w:sz w:val="20"/>
          <w:szCs w:val="20"/>
        </w:rPr>
        <w:t>positive</w:t>
      </w:r>
      <w:r w:rsidR="000C3D56" w:rsidRPr="008E5BAB">
        <w:rPr>
          <w:rFonts w:asciiTheme="minorHAnsi" w:hAnsiTheme="minorHAnsi" w:cstheme="minorHAnsi"/>
          <w:bCs/>
          <w:sz w:val="20"/>
          <w:szCs w:val="20"/>
        </w:rPr>
        <w:t xml:space="preserve"> results, with </w:t>
      </w:r>
      <w:r w:rsidR="009301C2" w:rsidRPr="008E5BAB">
        <w:rPr>
          <w:rFonts w:asciiTheme="minorHAnsi" w:hAnsiTheme="minorHAnsi" w:cstheme="minorHAnsi"/>
          <w:bCs/>
          <w:sz w:val="20"/>
          <w:szCs w:val="20"/>
        </w:rPr>
        <w:t>hundreds of tasks</w:t>
      </w:r>
      <w:r w:rsidR="000C3D56" w:rsidRPr="008E5BAB">
        <w:rPr>
          <w:rFonts w:asciiTheme="minorHAnsi" w:hAnsiTheme="minorHAnsi" w:cstheme="minorHAnsi"/>
          <w:bCs/>
          <w:sz w:val="20"/>
          <w:szCs w:val="20"/>
        </w:rPr>
        <w:t xml:space="preserve"> now</w:t>
      </w:r>
      <w:r w:rsidR="009301C2" w:rsidRPr="008E5BAB">
        <w:rPr>
          <w:rFonts w:asciiTheme="minorHAnsi" w:hAnsiTheme="minorHAnsi" w:cstheme="minorHAnsi"/>
          <w:bCs/>
          <w:sz w:val="20"/>
          <w:szCs w:val="20"/>
        </w:rPr>
        <w:t xml:space="preserve"> </w:t>
      </w:r>
      <w:proofErr w:type="gramStart"/>
      <w:r w:rsidR="000C3D56" w:rsidRPr="008E5BAB">
        <w:rPr>
          <w:rFonts w:asciiTheme="minorHAnsi" w:hAnsiTheme="minorHAnsi" w:cstheme="minorHAnsi"/>
          <w:bCs/>
          <w:sz w:val="20"/>
          <w:szCs w:val="20"/>
        </w:rPr>
        <w:t>automated</w:t>
      </w:r>
      <w:proofErr w:type="gramEnd"/>
      <w:r w:rsidR="000C3D56" w:rsidRPr="008E5BAB">
        <w:rPr>
          <w:rFonts w:asciiTheme="minorHAnsi" w:hAnsiTheme="minorHAnsi" w:cstheme="minorHAnsi"/>
          <w:bCs/>
          <w:sz w:val="20"/>
          <w:szCs w:val="20"/>
        </w:rPr>
        <w:t xml:space="preserve"> </w:t>
      </w:r>
    </w:p>
    <w:p w14:paraId="15BBD535" w14:textId="1D395395" w:rsidR="000C3D56" w:rsidRPr="008E5BAB" w:rsidRDefault="000C3D56" w:rsidP="002340A1">
      <w:pPr>
        <w:pStyle w:val="ListParagraph"/>
        <w:numPr>
          <w:ilvl w:val="0"/>
          <w:numId w:val="62"/>
        </w:numPr>
        <w:spacing w:after="0" w:line="240" w:lineRule="auto"/>
        <w:jc w:val="both"/>
        <w:rPr>
          <w:rFonts w:asciiTheme="minorHAnsi" w:hAnsiTheme="minorHAnsi" w:cstheme="minorHAnsi"/>
          <w:bCs/>
          <w:sz w:val="20"/>
          <w:szCs w:val="20"/>
        </w:rPr>
      </w:pPr>
      <w:r w:rsidRPr="008E5BAB">
        <w:rPr>
          <w:rFonts w:asciiTheme="minorHAnsi" w:hAnsiTheme="minorHAnsi" w:cstheme="minorHAnsi"/>
          <w:bCs/>
          <w:sz w:val="20"/>
          <w:szCs w:val="20"/>
        </w:rPr>
        <w:t xml:space="preserve">Highly productive attendance at </w:t>
      </w:r>
      <w:proofErr w:type="spellStart"/>
      <w:r w:rsidRPr="008E5BAB">
        <w:rPr>
          <w:rFonts w:asciiTheme="minorHAnsi" w:hAnsiTheme="minorHAnsi" w:cstheme="minorHAnsi"/>
          <w:bCs/>
          <w:sz w:val="20"/>
          <w:szCs w:val="20"/>
        </w:rPr>
        <w:t>Ambiente</w:t>
      </w:r>
      <w:proofErr w:type="spellEnd"/>
      <w:r w:rsidR="009E7467">
        <w:rPr>
          <w:rFonts w:asciiTheme="minorHAnsi" w:hAnsiTheme="minorHAnsi" w:cstheme="minorHAnsi"/>
          <w:bCs/>
          <w:sz w:val="20"/>
          <w:szCs w:val="20"/>
        </w:rPr>
        <w:t>, the largest</w:t>
      </w:r>
      <w:r w:rsidRPr="008E5BAB">
        <w:rPr>
          <w:rFonts w:asciiTheme="minorHAnsi" w:hAnsiTheme="minorHAnsi" w:cstheme="minorHAnsi"/>
          <w:bCs/>
          <w:sz w:val="20"/>
          <w:szCs w:val="20"/>
        </w:rPr>
        <w:t xml:space="preserve"> European Trade Fair</w:t>
      </w:r>
      <w:r w:rsidR="00C36530">
        <w:rPr>
          <w:rFonts w:asciiTheme="minorHAnsi" w:hAnsiTheme="minorHAnsi" w:cstheme="minorHAnsi"/>
          <w:bCs/>
          <w:sz w:val="20"/>
          <w:szCs w:val="20"/>
        </w:rPr>
        <w:t>,</w:t>
      </w:r>
      <w:r w:rsidR="00056162" w:rsidRPr="008E5BAB">
        <w:rPr>
          <w:rFonts w:asciiTheme="minorHAnsi" w:hAnsiTheme="minorHAnsi" w:cstheme="minorHAnsi"/>
          <w:bCs/>
          <w:sz w:val="20"/>
          <w:szCs w:val="20"/>
        </w:rPr>
        <w:t xml:space="preserve"> in Germany</w:t>
      </w:r>
    </w:p>
    <w:p w14:paraId="2B4E52FD" w14:textId="54588C98" w:rsidR="000D4CCC" w:rsidRPr="008E5BAB" w:rsidRDefault="000D4CCC" w:rsidP="002340A1">
      <w:pPr>
        <w:pStyle w:val="ListParagraph"/>
        <w:numPr>
          <w:ilvl w:val="0"/>
          <w:numId w:val="62"/>
        </w:numPr>
        <w:spacing w:after="0" w:line="240" w:lineRule="auto"/>
        <w:jc w:val="both"/>
        <w:rPr>
          <w:rFonts w:asciiTheme="minorHAnsi" w:hAnsiTheme="minorHAnsi" w:cstheme="minorHAnsi"/>
          <w:bCs/>
          <w:sz w:val="20"/>
          <w:szCs w:val="20"/>
        </w:rPr>
      </w:pPr>
      <w:r w:rsidRPr="008E5BAB">
        <w:rPr>
          <w:rFonts w:asciiTheme="minorHAnsi" w:hAnsiTheme="minorHAnsi" w:cstheme="minorHAnsi"/>
          <w:bCs/>
          <w:sz w:val="20"/>
          <w:szCs w:val="20"/>
        </w:rPr>
        <w:t xml:space="preserve">Beginning our journey to diversify our supply </w:t>
      </w:r>
      <w:proofErr w:type="gramStart"/>
      <w:r w:rsidRPr="008E5BAB">
        <w:rPr>
          <w:rFonts w:asciiTheme="minorHAnsi" w:hAnsiTheme="minorHAnsi" w:cstheme="minorHAnsi"/>
          <w:bCs/>
          <w:sz w:val="20"/>
          <w:szCs w:val="20"/>
        </w:rPr>
        <w:t>chain</w:t>
      </w:r>
      <w:proofErr w:type="gramEnd"/>
      <w:r w:rsidRPr="008E5BAB">
        <w:rPr>
          <w:rFonts w:asciiTheme="minorHAnsi" w:hAnsiTheme="minorHAnsi" w:cstheme="minorHAnsi"/>
          <w:bCs/>
          <w:sz w:val="20"/>
          <w:szCs w:val="20"/>
        </w:rPr>
        <w:t xml:space="preserve"> </w:t>
      </w:r>
    </w:p>
    <w:p w14:paraId="2F108132" w14:textId="10FCF12D" w:rsidR="00AE6A3E" w:rsidRPr="006D26BB" w:rsidRDefault="00AE6A3E" w:rsidP="00BD0800">
      <w:pPr>
        <w:spacing w:after="0" w:line="240" w:lineRule="auto"/>
        <w:jc w:val="both"/>
        <w:rPr>
          <w:rFonts w:asciiTheme="minorHAnsi" w:hAnsiTheme="minorHAnsi" w:cstheme="minorHAnsi"/>
          <w:bCs/>
          <w:sz w:val="20"/>
          <w:szCs w:val="20"/>
        </w:rPr>
      </w:pPr>
    </w:p>
    <w:p w14:paraId="2B235FF7" w14:textId="57521856" w:rsidR="003D21AD" w:rsidRPr="006D26BB" w:rsidRDefault="00BD0800" w:rsidP="00BD0800">
      <w:pPr>
        <w:pStyle w:val="bg"/>
        <w:spacing w:before="0" w:beforeAutospacing="0" w:after="0" w:afterAutospacing="0"/>
        <w:jc w:val="both"/>
        <w:rPr>
          <w:rFonts w:asciiTheme="minorHAnsi" w:hAnsiTheme="minorHAnsi" w:cstheme="minorHAnsi"/>
          <w:color w:val="000000" w:themeColor="text1"/>
          <w:sz w:val="20"/>
          <w:szCs w:val="20"/>
        </w:rPr>
      </w:pPr>
      <w:bookmarkStart w:id="4" w:name="_Hlk128038085"/>
      <w:r w:rsidRPr="006D26BB">
        <w:rPr>
          <w:rStyle w:val="as"/>
          <w:rFonts w:asciiTheme="minorHAnsi" w:eastAsia="MS Mincho" w:hAnsiTheme="minorHAnsi" w:cstheme="minorHAnsi"/>
          <w:b/>
          <w:bCs/>
          <w:color w:val="000000" w:themeColor="text1"/>
          <w:sz w:val="20"/>
          <w:szCs w:val="20"/>
        </w:rPr>
        <w:t>Current trading and outlook</w:t>
      </w:r>
    </w:p>
    <w:p w14:paraId="4A4BEBC7" w14:textId="641689F2" w:rsidR="003D21AD" w:rsidRPr="00340042" w:rsidRDefault="00BD0800" w:rsidP="00340042">
      <w:pPr>
        <w:pStyle w:val="bg"/>
        <w:spacing w:before="0" w:beforeAutospacing="0" w:after="0" w:afterAutospacing="0"/>
        <w:jc w:val="both"/>
        <w:rPr>
          <w:rFonts w:asciiTheme="minorHAnsi" w:hAnsiTheme="minorHAnsi" w:cstheme="minorHAnsi"/>
          <w:b/>
          <w:bCs/>
          <w:i/>
          <w:iCs/>
          <w:sz w:val="20"/>
          <w:szCs w:val="20"/>
        </w:rPr>
      </w:pPr>
      <w:r w:rsidRPr="00340042">
        <w:rPr>
          <w:rFonts w:asciiTheme="minorHAnsi" w:hAnsiTheme="minorHAnsi" w:cstheme="minorHAnsi"/>
          <w:bCs/>
          <w:sz w:val="20"/>
          <w:szCs w:val="20"/>
          <w:lang w:val="en-US"/>
        </w:rPr>
        <w:t xml:space="preserve">The Board anticipates </w:t>
      </w:r>
      <w:r w:rsidR="0017327B" w:rsidRPr="00340042">
        <w:rPr>
          <w:rFonts w:asciiTheme="minorHAnsi" w:hAnsiTheme="minorHAnsi" w:cstheme="minorHAnsi"/>
          <w:bCs/>
          <w:sz w:val="20"/>
          <w:szCs w:val="20"/>
          <w:lang w:val="en-US"/>
        </w:rPr>
        <w:t xml:space="preserve">full-year </w:t>
      </w:r>
      <w:r w:rsidRPr="00340042">
        <w:rPr>
          <w:rFonts w:asciiTheme="minorHAnsi" w:hAnsiTheme="minorHAnsi" w:cstheme="minorHAnsi"/>
          <w:bCs/>
          <w:sz w:val="20"/>
          <w:szCs w:val="20"/>
          <w:lang w:val="en-US"/>
        </w:rPr>
        <w:t>performance for FY23 will be in line with current market expectations</w:t>
      </w:r>
      <w:r w:rsidR="00654687" w:rsidRPr="00340042">
        <w:rPr>
          <w:rFonts w:asciiTheme="minorHAnsi" w:hAnsiTheme="minorHAnsi" w:cstheme="minorHAnsi"/>
          <w:bCs/>
          <w:sz w:val="20"/>
          <w:szCs w:val="20"/>
          <w:lang w:val="en-US"/>
        </w:rPr>
        <w:t xml:space="preserve">, with H2 </w:t>
      </w:r>
      <w:r w:rsidR="00E12991" w:rsidRPr="00340042">
        <w:rPr>
          <w:rFonts w:asciiTheme="minorHAnsi" w:hAnsiTheme="minorHAnsi" w:cstheme="minorHAnsi"/>
          <w:bCs/>
          <w:sz w:val="20"/>
          <w:szCs w:val="20"/>
          <w:lang w:val="en-US"/>
        </w:rPr>
        <w:t xml:space="preserve">performance </w:t>
      </w:r>
      <w:r w:rsidR="003D21AD" w:rsidRPr="00340042">
        <w:rPr>
          <w:rFonts w:asciiTheme="minorHAnsi" w:hAnsiTheme="minorHAnsi" w:cstheme="minorHAnsi"/>
          <w:sz w:val="20"/>
          <w:szCs w:val="20"/>
          <w:lang w:val="en-US"/>
        </w:rPr>
        <w:t>benefiting from significant</w:t>
      </w:r>
      <w:r w:rsidR="003D21AD" w:rsidRPr="00340042">
        <w:rPr>
          <w:rFonts w:asciiTheme="minorHAnsi" w:hAnsiTheme="minorHAnsi" w:cstheme="minorHAnsi"/>
          <w:bCs/>
          <w:sz w:val="20"/>
          <w:szCs w:val="20"/>
          <w:lang w:val="en-US"/>
        </w:rPr>
        <w:t> </w:t>
      </w:r>
      <w:r w:rsidR="003D21AD" w:rsidRPr="00340042">
        <w:rPr>
          <w:rFonts w:asciiTheme="minorHAnsi" w:hAnsiTheme="minorHAnsi" w:cstheme="minorHAnsi"/>
          <w:sz w:val="20"/>
          <w:szCs w:val="20"/>
          <w:lang w:val="en-US"/>
        </w:rPr>
        <w:t xml:space="preserve">growth in our online </w:t>
      </w:r>
      <w:proofErr w:type="gramStart"/>
      <w:r w:rsidR="003D21AD" w:rsidRPr="00340042">
        <w:rPr>
          <w:rFonts w:asciiTheme="minorHAnsi" w:hAnsiTheme="minorHAnsi" w:cstheme="minorHAnsi"/>
          <w:sz w:val="20"/>
          <w:szCs w:val="20"/>
          <w:lang w:val="en-US"/>
        </w:rPr>
        <w:t>channel</w:t>
      </w:r>
      <w:proofErr w:type="gramEnd"/>
      <w:r w:rsidR="003D21AD" w:rsidRPr="00340042">
        <w:rPr>
          <w:rFonts w:asciiTheme="minorHAnsi" w:hAnsiTheme="minorHAnsi" w:cstheme="minorHAnsi"/>
          <w:sz w:val="20"/>
          <w:szCs w:val="20"/>
          <w:lang w:val="en-US"/>
        </w:rPr>
        <w:t xml:space="preserve"> which is less seasonal</w:t>
      </w:r>
      <w:r w:rsidR="003D21AD" w:rsidRPr="00340042">
        <w:rPr>
          <w:rFonts w:asciiTheme="minorHAnsi" w:hAnsiTheme="minorHAnsi" w:cstheme="minorHAnsi"/>
          <w:bCs/>
          <w:sz w:val="20"/>
          <w:szCs w:val="20"/>
          <w:lang w:val="en-US"/>
        </w:rPr>
        <w:t xml:space="preserve">. </w:t>
      </w:r>
      <w:r w:rsidR="003D21AD" w:rsidRPr="00340042">
        <w:rPr>
          <w:rFonts w:asciiTheme="minorHAnsi" w:hAnsiTheme="minorHAnsi" w:cstheme="minorHAnsi"/>
          <w:sz w:val="20"/>
          <w:szCs w:val="20"/>
          <w:lang w:val="en-US"/>
        </w:rPr>
        <w:t xml:space="preserve">The Group is well </w:t>
      </w:r>
      <w:r w:rsidR="003D21AD" w:rsidRPr="00340042">
        <w:rPr>
          <w:rFonts w:asciiTheme="minorHAnsi" w:hAnsiTheme="minorHAnsi" w:cstheme="minorHAnsi"/>
          <w:sz w:val="20"/>
          <w:szCs w:val="20"/>
          <w:lang w:val="en-US"/>
        </w:rPr>
        <w:lastRenderedPageBreak/>
        <w:t>placed to respond </w:t>
      </w:r>
      <w:r w:rsidR="00DB357F">
        <w:rPr>
          <w:rFonts w:asciiTheme="minorHAnsi" w:hAnsiTheme="minorHAnsi" w:cstheme="minorHAnsi"/>
          <w:sz w:val="20"/>
          <w:szCs w:val="20"/>
          <w:lang w:val="en-US"/>
        </w:rPr>
        <w:t>to</w:t>
      </w:r>
      <w:r w:rsidR="003D21AD" w:rsidRPr="00340042">
        <w:rPr>
          <w:rFonts w:asciiTheme="minorHAnsi" w:hAnsiTheme="minorHAnsi" w:cstheme="minorHAnsi"/>
          <w:sz w:val="20"/>
          <w:szCs w:val="20"/>
          <w:lang w:val="en-US"/>
        </w:rPr>
        <w:t xml:space="preserve"> the challenges of the current cost of living crisis given its relentless focus on delivering value and growth.</w:t>
      </w:r>
    </w:p>
    <w:p w14:paraId="1D2EBC29" w14:textId="2EC82FB9" w:rsidR="00C707F9" w:rsidRPr="006D26BB" w:rsidRDefault="00C707F9" w:rsidP="00BD0800">
      <w:pPr>
        <w:spacing w:after="0" w:line="240" w:lineRule="auto"/>
        <w:jc w:val="both"/>
        <w:rPr>
          <w:rFonts w:asciiTheme="minorHAnsi" w:hAnsiTheme="minorHAnsi" w:cstheme="minorHAnsi"/>
          <w:bCs/>
          <w:color w:val="000000" w:themeColor="text1"/>
          <w:sz w:val="20"/>
          <w:szCs w:val="20"/>
          <w:lang w:val="en-US"/>
        </w:rPr>
      </w:pPr>
    </w:p>
    <w:bookmarkEnd w:id="4"/>
    <w:p w14:paraId="3EE62C07" w14:textId="250AB600" w:rsidR="00AE6A3E" w:rsidRPr="00F504A9" w:rsidRDefault="00AE6A3E" w:rsidP="0047121F">
      <w:pPr>
        <w:spacing w:after="0" w:line="240" w:lineRule="auto"/>
        <w:jc w:val="both"/>
        <w:rPr>
          <w:rFonts w:asciiTheme="minorHAnsi" w:hAnsiTheme="minorHAnsi" w:cstheme="minorHAnsi"/>
          <w:b/>
          <w:sz w:val="20"/>
          <w:szCs w:val="20"/>
        </w:rPr>
      </w:pPr>
      <w:r w:rsidRPr="00F504A9">
        <w:rPr>
          <w:rFonts w:asciiTheme="minorHAnsi" w:hAnsiTheme="minorHAnsi" w:cstheme="minorHAnsi"/>
          <w:b/>
          <w:sz w:val="20"/>
          <w:szCs w:val="20"/>
        </w:rPr>
        <w:t>Commenting on the results, Simon Showman, Chief Executive of Ultimate Products, said:</w:t>
      </w:r>
    </w:p>
    <w:p w14:paraId="218F0B7C" w14:textId="46A5377F" w:rsidR="00223E37" w:rsidRDefault="00CF4125" w:rsidP="00340042">
      <w:pPr>
        <w:spacing w:after="0" w:line="240" w:lineRule="auto"/>
        <w:jc w:val="both"/>
        <w:rPr>
          <w:i/>
          <w:iCs/>
          <w:color w:val="000000"/>
          <w:sz w:val="20"/>
          <w:szCs w:val="20"/>
        </w:rPr>
      </w:pPr>
      <w:r>
        <w:rPr>
          <w:i/>
          <w:iCs/>
          <w:color w:val="000000"/>
          <w:sz w:val="20"/>
          <w:szCs w:val="20"/>
        </w:rPr>
        <w:t>“</w:t>
      </w:r>
      <w:r w:rsidR="00122D21">
        <w:rPr>
          <w:i/>
          <w:iCs/>
          <w:color w:val="000000"/>
          <w:sz w:val="20"/>
          <w:szCs w:val="20"/>
        </w:rPr>
        <w:t>We have delivered a robust performance, with exceptional growth from online, a</w:t>
      </w:r>
      <w:r>
        <w:rPr>
          <w:i/>
          <w:iCs/>
          <w:color w:val="000000"/>
          <w:sz w:val="20"/>
          <w:szCs w:val="20"/>
        </w:rPr>
        <w:t>midst a tough trading environment.</w:t>
      </w:r>
      <w:r w:rsidR="00C87D2B">
        <w:rPr>
          <w:i/>
          <w:iCs/>
          <w:color w:val="000000"/>
          <w:sz w:val="20"/>
          <w:szCs w:val="20"/>
        </w:rPr>
        <w:t xml:space="preserve"> Our amazing team has</w:t>
      </w:r>
      <w:r>
        <w:rPr>
          <w:i/>
          <w:iCs/>
          <w:color w:val="000000"/>
          <w:sz w:val="20"/>
          <w:szCs w:val="20"/>
        </w:rPr>
        <w:t xml:space="preserve"> built a resilient and scalable business, based on a strong portfolio of homeware brands with a wide range of products and channels to market. </w:t>
      </w:r>
    </w:p>
    <w:p w14:paraId="62576629" w14:textId="77777777" w:rsidR="00223E37" w:rsidRDefault="00223E37" w:rsidP="00340042">
      <w:pPr>
        <w:spacing w:after="0" w:line="240" w:lineRule="auto"/>
        <w:jc w:val="both"/>
        <w:rPr>
          <w:i/>
          <w:iCs/>
          <w:color w:val="000000"/>
          <w:sz w:val="20"/>
          <w:szCs w:val="20"/>
        </w:rPr>
      </w:pPr>
    </w:p>
    <w:p w14:paraId="339383BF" w14:textId="7DEBB3CC" w:rsidR="00CF4125" w:rsidRDefault="00C36530" w:rsidP="00340042">
      <w:pPr>
        <w:spacing w:after="0" w:line="240" w:lineRule="auto"/>
        <w:jc w:val="both"/>
        <w:rPr>
          <w:i/>
          <w:iCs/>
          <w:color w:val="000000"/>
          <w:sz w:val="20"/>
          <w:szCs w:val="20"/>
        </w:rPr>
      </w:pPr>
      <w:r>
        <w:rPr>
          <w:i/>
          <w:iCs/>
          <w:color w:val="000000"/>
          <w:sz w:val="20"/>
          <w:szCs w:val="20"/>
        </w:rPr>
        <w:t xml:space="preserve">The business </w:t>
      </w:r>
      <w:r w:rsidR="00CF4125">
        <w:rPr>
          <w:i/>
          <w:iCs/>
          <w:color w:val="000000"/>
          <w:sz w:val="20"/>
          <w:szCs w:val="20"/>
        </w:rPr>
        <w:t>has been tested by some of the toughest</w:t>
      </w:r>
      <w:r>
        <w:rPr>
          <w:i/>
          <w:iCs/>
          <w:color w:val="000000"/>
          <w:sz w:val="20"/>
          <w:szCs w:val="20"/>
        </w:rPr>
        <w:t xml:space="preserve"> trading</w:t>
      </w:r>
      <w:r w:rsidR="00CF4125">
        <w:rPr>
          <w:i/>
          <w:iCs/>
          <w:color w:val="000000"/>
          <w:sz w:val="20"/>
          <w:szCs w:val="20"/>
        </w:rPr>
        <w:t xml:space="preserve"> conditions and headwinds seen in recent times, but </w:t>
      </w:r>
      <w:r w:rsidR="00BA503A">
        <w:rPr>
          <w:i/>
          <w:iCs/>
          <w:color w:val="000000"/>
          <w:sz w:val="20"/>
          <w:szCs w:val="20"/>
        </w:rPr>
        <w:t xml:space="preserve">we </w:t>
      </w:r>
      <w:r>
        <w:rPr>
          <w:i/>
          <w:iCs/>
          <w:color w:val="000000"/>
          <w:sz w:val="20"/>
          <w:szCs w:val="20"/>
        </w:rPr>
        <w:t>are emerging</w:t>
      </w:r>
      <w:r w:rsidR="00CF4125">
        <w:rPr>
          <w:i/>
          <w:iCs/>
          <w:color w:val="000000"/>
          <w:sz w:val="20"/>
          <w:szCs w:val="20"/>
        </w:rPr>
        <w:t xml:space="preserve"> stronger, more focused and more profitable than ever. This resilience puts us in a strong position to accelerate our growth as the macroeconomic uncertainty starts to clear. We therefore remain confident in the future prospects for Ultimate Products.”</w:t>
      </w:r>
    </w:p>
    <w:p w14:paraId="57C28CCA" w14:textId="77777777" w:rsidR="00D16354" w:rsidRPr="006D26BB" w:rsidRDefault="00D16354" w:rsidP="00BD0800">
      <w:pPr>
        <w:spacing w:after="0" w:line="240" w:lineRule="auto"/>
        <w:jc w:val="both"/>
        <w:rPr>
          <w:rFonts w:asciiTheme="minorHAnsi" w:hAnsiTheme="minorHAnsi" w:cstheme="minorHAnsi"/>
          <w:i/>
          <w:iCs/>
          <w:color w:val="000000" w:themeColor="text1"/>
          <w:sz w:val="20"/>
          <w:szCs w:val="20"/>
        </w:rPr>
      </w:pPr>
    </w:p>
    <w:p w14:paraId="051DA65E" w14:textId="77777777" w:rsidR="00BD0800" w:rsidRPr="00C707F9" w:rsidRDefault="00BD0800" w:rsidP="00BD0800">
      <w:pPr>
        <w:pStyle w:val="bo"/>
        <w:spacing w:before="0" w:beforeAutospacing="0" w:after="0" w:afterAutospacing="0"/>
        <w:jc w:val="both"/>
        <w:rPr>
          <w:rFonts w:asciiTheme="minorHAnsi" w:hAnsiTheme="minorHAnsi" w:cstheme="minorHAnsi"/>
          <w:color w:val="16202C"/>
          <w:sz w:val="20"/>
          <w:szCs w:val="20"/>
        </w:rPr>
      </w:pPr>
      <w:r w:rsidRPr="00C707F9">
        <w:rPr>
          <w:rFonts w:asciiTheme="minorHAnsi" w:hAnsiTheme="minorHAnsi" w:cstheme="minorHAnsi"/>
          <w:b/>
          <w:bCs/>
          <w:color w:val="16202C"/>
          <w:sz w:val="20"/>
          <w:szCs w:val="20"/>
        </w:rPr>
        <w:t>For more information, please contact:</w:t>
      </w:r>
    </w:p>
    <w:p w14:paraId="31B8CDB5" w14:textId="77777777" w:rsidR="00BD0800" w:rsidRPr="00C707F9" w:rsidRDefault="00BD0800" w:rsidP="00BD0800">
      <w:pPr>
        <w:pStyle w:val="bo"/>
        <w:spacing w:before="0" w:beforeAutospacing="0" w:after="0" w:afterAutospacing="0"/>
        <w:jc w:val="both"/>
        <w:rPr>
          <w:rFonts w:asciiTheme="minorHAnsi" w:hAnsiTheme="minorHAnsi" w:cstheme="minorHAnsi"/>
          <w:color w:val="16202C"/>
          <w:sz w:val="20"/>
          <w:szCs w:val="20"/>
        </w:rPr>
      </w:pPr>
      <w:r w:rsidRPr="00C707F9">
        <w:rPr>
          <w:rFonts w:asciiTheme="minorHAnsi" w:hAnsiTheme="minorHAnsi" w:cstheme="minorHAnsi"/>
          <w:color w:val="16202C"/>
          <w:sz w:val="20"/>
          <w:szCs w:val="20"/>
        </w:rPr>
        <w:t>Ultimate Products +44 (0) 161 627 1400</w:t>
      </w:r>
    </w:p>
    <w:p w14:paraId="19B8784A" w14:textId="77777777" w:rsidR="00BD0800" w:rsidRPr="00C707F9" w:rsidRDefault="00BD0800" w:rsidP="00BD0800">
      <w:pPr>
        <w:pStyle w:val="bo"/>
        <w:spacing w:before="0" w:beforeAutospacing="0" w:after="0" w:afterAutospacing="0"/>
        <w:jc w:val="both"/>
        <w:rPr>
          <w:rFonts w:asciiTheme="minorHAnsi" w:hAnsiTheme="minorHAnsi" w:cstheme="minorHAnsi"/>
          <w:color w:val="16202C"/>
          <w:sz w:val="20"/>
          <w:szCs w:val="20"/>
        </w:rPr>
      </w:pPr>
      <w:r w:rsidRPr="00C707F9">
        <w:rPr>
          <w:rFonts w:asciiTheme="minorHAnsi" w:hAnsiTheme="minorHAnsi" w:cstheme="minorHAnsi"/>
          <w:color w:val="16202C"/>
          <w:sz w:val="20"/>
          <w:szCs w:val="20"/>
        </w:rPr>
        <w:t>Simon Showman, CEO</w:t>
      </w:r>
    </w:p>
    <w:p w14:paraId="54EB7910" w14:textId="77777777" w:rsidR="00BD0800" w:rsidRPr="00C707F9" w:rsidRDefault="00BD0800" w:rsidP="00BD0800">
      <w:pPr>
        <w:pStyle w:val="bo"/>
        <w:spacing w:before="0" w:beforeAutospacing="0" w:after="0" w:afterAutospacing="0"/>
        <w:jc w:val="both"/>
        <w:rPr>
          <w:rFonts w:asciiTheme="minorHAnsi" w:hAnsiTheme="minorHAnsi" w:cstheme="minorHAnsi"/>
          <w:color w:val="16202C"/>
          <w:sz w:val="20"/>
          <w:szCs w:val="20"/>
        </w:rPr>
      </w:pPr>
      <w:r w:rsidRPr="00C707F9">
        <w:rPr>
          <w:rFonts w:asciiTheme="minorHAnsi" w:hAnsiTheme="minorHAnsi" w:cstheme="minorHAnsi"/>
          <w:color w:val="16202C"/>
          <w:sz w:val="20"/>
          <w:szCs w:val="20"/>
        </w:rPr>
        <w:t>Andrew Gossage, Managing Director</w:t>
      </w:r>
    </w:p>
    <w:p w14:paraId="68902DE8" w14:textId="77777777" w:rsidR="00BD0800" w:rsidRPr="00C707F9" w:rsidRDefault="00BD0800" w:rsidP="00BD0800">
      <w:pPr>
        <w:pStyle w:val="bo"/>
        <w:spacing w:before="0" w:beforeAutospacing="0" w:after="0" w:afterAutospacing="0"/>
        <w:jc w:val="both"/>
        <w:rPr>
          <w:rFonts w:asciiTheme="minorHAnsi" w:hAnsiTheme="minorHAnsi" w:cstheme="minorHAnsi"/>
          <w:color w:val="16202C"/>
          <w:sz w:val="20"/>
          <w:szCs w:val="20"/>
        </w:rPr>
      </w:pPr>
      <w:r w:rsidRPr="00C707F9">
        <w:rPr>
          <w:rFonts w:asciiTheme="minorHAnsi" w:hAnsiTheme="minorHAnsi" w:cstheme="minorHAnsi"/>
          <w:color w:val="16202C"/>
          <w:sz w:val="20"/>
          <w:szCs w:val="20"/>
        </w:rPr>
        <w:t>Chris Dent, Chief Financial Officer</w:t>
      </w:r>
    </w:p>
    <w:p w14:paraId="7E3E07FA" w14:textId="77777777" w:rsidR="00BD0800" w:rsidRPr="00C707F9" w:rsidRDefault="00BD0800" w:rsidP="00BD0800">
      <w:pPr>
        <w:pStyle w:val="bo"/>
        <w:spacing w:before="0" w:beforeAutospacing="0" w:after="0" w:afterAutospacing="0"/>
        <w:jc w:val="both"/>
        <w:rPr>
          <w:rFonts w:asciiTheme="minorHAnsi" w:hAnsiTheme="minorHAnsi" w:cstheme="minorHAnsi"/>
          <w:color w:val="16202C"/>
          <w:sz w:val="20"/>
          <w:szCs w:val="20"/>
        </w:rPr>
      </w:pPr>
      <w:r w:rsidRPr="00C707F9">
        <w:rPr>
          <w:rFonts w:asciiTheme="minorHAnsi" w:hAnsiTheme="minorHAnsi" w:cstheme="minorHAnsi"/>
          <w:color w:val="16202C"/>
          <w:sz w:val="20"/>
          <w:szCs w:val="20"/>
        </w:rPr>
        <w:t> </w:t>
      </w:r>
    </w:p>
    <w:p w14:paraId="2CC4F4D6" w14:textId="08FFC2FA" w:rsidR="00BD0800" w:rsidRPr="00C707F9" w:rsidRDefault="00BD0800" w:rsidP="00BD0800">
      <w:pPr>
        <w:pStyle w:val="bo"/>
        <w:spacing w:before="0" w:beforeAutospacing="0" w:after="0" w:afterAutospacing="0"/>
        <w:jc w:val="both"/>
        <w:rPr>
          <w:rFonts w:asciiTheme="minorHAnsi" w:hAnsiTheme="minorHAnsi" w:cstheme="minorHAnsi"/>
          <w:color w:val="16202C"/>
          <w:sz w:val="20"/>
          <w:szCs w:val="20"/>
        </w:rPr>
      </w:pPr>
      <w:r w:rsidRPr="00C707F9">
        <w:rPr>
          <w:rFonts w:asciiTheme="minorHAnsi" w:hAnsiTheme="minorHAnsi" w:cstheme="minorHAnsi"/>
          <w:color w:val="16202C"/>
          <w:sz w:val="20"/>
          <w:szCs w:val="20"/>
        </w:rPr>
        <w:t>Shore Capital +44 (0) 207</w:t>
      </w:r>
      <w:r w:rsidR="001F1219">
        <w:rPr>
          <w:rFonts w:asciiTheme="minorHAnsi" w:hAnsiTheme="minorHAnsi" w:cstheme="minorHAnsi"/>
          <w:color w:val="16202C"/>
          <w:sz w:val="20"/>
          <w:szCs w:val="20"/>
        </w:rPr>
        <w:t xml:space="preserve"> </w:t>
      </w:r>
      <w:r w:rsidRPr="00C707F9">
        <w:rPr>
          <w:rFonts w:asciiTheme="minorHAnsi" w:hAnsiTheme="minorHAnsi" w:cstheme="minorHAnsi"/>
          <w:color w:val="16202C"/>
          <w:sz w:val="20"/>
          <w:szCs w:val="20"/>
        </w:rPr>
        <w:t>408 4090</w:t>
      </w:r>
    </w:p>
    <w:p w14:paraId="1AF188B1" w14:textId="77777777" w:rsidR="00BD0800" w:rsidRPr="00C707F9" w:rsidRDefault="00BD0800" w:rsidP="00BD0800">
      <w:pPr>
        <w:pStyle w:val="bo"/>
        <w:spacing w:before="0" w:beforeAutospacing="0" w:after="0" w:afterAutospacing="0"/>
        <w:jc w:val="both"/>
        <w:rPr>
          <w:rFonts w:asciiTheme="minorHAnsi" w:hAnsiTheme="minorHAnsi" w:cstheme="minorHAnsi"/>
          <w:color w:val="16202C"/>
          <w:sz w:val="20"/>
          <w:szCs w:val="20"/>
        </w:rPr>
      </w:pPr>
      <w:r w:rsidRPr="00C707F9">
        <w:rPr>
          <w:rFonts w:asciiTheme="minorHAnsi" w:hAnsiTheme="minorHAnsi" w:cstheme="minorHAnsi"/>
          <w:color w:val="16202C"/>
          <w:sz w:val="20"/>
          <w:szCs w:val="20"/>
        </w:rPr>
        <w:t>Mark Percy</w:t>
      </w:r>
    </w:p>
    <w:p w14:paraId="3F15A4B3" w14:textId="77777777" w:rsidR="00BD0800" w:rsidRPr="00C707F9" w:rsidRDefault="00BD0800" w:rsidP="00BD0800">
      <w:pPr>
        <w:pStyle w:val="bo"/>
        <w:spacing w:before="0" w:beforeAutospacing="0" w:after="0" w:afterAutospacing="0"/>
        <w:jc w:val="both"/>
        <w:rPr>
          <w:rFonts w:asciiTheme="minorHAnsi" w:hAnsiTheme="minorHAnsi" w:cstheme="minorHAnsi"/>
          <w:color w:val="16202C"/>
          <w:sz w:val="20"/>
          <w:szCs w:val="20"/>
        </w:rPr>
      </w:pPr>
      <w:r w:rsidRPr="00C707F9">
        <w:rPr>
          <w:rFonts w:asciiTheme="minorHAnsi" w:hAnsiTheme="minorHAnsi" w:cstheme="minorHAnsi"/>
          <w:color w:val="16202C"/>
          <w:sz w:val="20"/>
          <w:szCs w:val="20"/>
        </w:rPr>
        <w:t>Malachy McEntyre</w:t>
      </w:r>
    </w:p>
    <w:p w14:paraId="3C5C3BEC" w14:textId="77777777" w:rsidR="00BD0800" w:rsidRPr="00C707F9" w:rsidRDefault="00BD0800" w:rsidP="00BD0800">
      <w:pPr>
        <w:pStyle w:val="bo"/>
        <w:spacing w:before="0" w:beforeAutospacing="0" w:after="0" w:afterAutospacing="0"/>
        <w:jc w:val="both"/>
        <w:rPr>
          <w:rFonts w:asciiTheme="minorHAnsi" w:hAnsiTheme="minorHAnsi" w:cstheme="minorHAnsi"/>
          <w:color w:val="16202C"/>
          <w:sz w:val="20"/>
          <w:szCs w:val="20"/>
        </w:rPr>
      </w:pPr>
      <w:r w:rsidRPr="00C707F9">
        <w:rPr>
          <w:rFonts w:asciiTheme="minorHAnsi" w:hAnsiTheme="minorHAnsi" w:cstheme="minorHAnsi"/>
          <w:color w:val="16202C"/>
          <w:sz w:val="20"/>
          <w:szCs w:val="20"/>
        </w:rPr>
        <w:t> </w:t>
      </w:r>
    </w:p>
    <w:p w14:paraId="39739EDB" w14:textId="77777777" w:rsidR="00BD0800" w:rsidRPr="00C707F9" w:rsidRDefault="00BD0800" w:rsidP="00BD0800">
      <w:pPr>
        <w:pStyle w:val="bo"/>
        <w:spacing w:before="0" w:beforeAutospacing="0" w:after="0" w:afterAutospacing="0"/>
        <w:jc w:val="both"/>
        <w:rPr>
          <w:rFonts w:asciiTheme="minorHAnsi" w:hAnsiTheme="minorHAnsi" w:cstheme="minorHAnsi"/>
          <w:color w:val="16202C"/>
          <w:sz w:val="20"/>
          <w:szCs w:val="20"/>
        </w:rPr>
      </w:pPr>
      <w:r w:rsidRPr="00C707F9">
        <w:rPr>
          <w:rFonts w:asciiTheme="minorHAnsi" w:hAnsiTheme="minorHAnsi" w:cstheme="minorHAnsi"/>
          <w:color w:val="16202C"/>
          <w:sz w:val="20"/>
          <w:szCs w:val="20"/>
        </w:rPr>
        <w:t>Powerscourt +44 (0) 207 250 1446</w:t>
      </w:r>
    </w:p>
    <w:p w14:paraId="23A21466" w14:textId="77777777" w:rsidR="00BD0800" w:rsidRPr="00C707F9" w:rsidRDefault="00BD0800" w:rsidP="00BD0800">
      <w:pPr>
        <w:pStyle w:val="bo"/>
        <w:spacing w:before="0" w:beforeAutospacing="0" w:after="0" w:afterAutospacing="0"/>
        <w:jc w:val="both"/>
        <w:rPr>
          <w:rFonts w:asciiTheme="minorHAnsi" w:hAnsiTheme="minorHAnsi" w:cstheme="minorHAnsi"/>
          <w:color w:val="16202C"/>
          <w:sz w:val="20"/>
          <w:szCs w:val="20"/>
        </w:rPr>
      </w:pPr>
      <w:r w:rsidRPr="00C707F9">
        <w:rPr>
          <w:rFonts w:asciiTheme="minorHAnsi" w:hAnsiTheme="minorHAnsi" w:cstheme="minorHAnsi"/>
          <w:color w:val="16202C"/>
          <w:sz w:val="20"/>
          <w:szCs w:val="20"/>
        </w:rPr>
        <w:t>Rob Greening</w:t>
      </w:r>
    </w:p>
    <w:p w14:paraId="1BF5428E" w14:textId="77777777" w:rsidR="00BD0800" w:rsidRPr="00C707F9" w:rsidRDefault="00BD0800" w:rsidP="00BD0800">
      <w:pPr>
        <w:pStyle w:val="bo"/>
        <w:spacing w:before="0" w:beforeAutospacing="0" w:after="0" w:afterAutospacing="0"/>
        <w:jc w:val="both"/>
        <w:rPr>
          <w:rFonts w:asciiTheme="minorHAnsi" w:hAnsiTheme="minorHAnsi" w:cstheme="minorHAnsi"/>
          <w:color w:val="16202C"/>
          <w:sz w:val="20"/>
          <w:szCs w:val="20"/>
        </w:rPr>
      </w:pPr>
      <w:r w:rsidRPr="00C707F9">
        <w:rPr>
          <w:rFonts w:asciiTheme="minorHAnsi" w:hAnsiTheme="minorHAnsi" w:cstheme="minorHAnsi"/>
          <w:color w:val="16202C"/>
          <w:sz w:val="20"/>
          <w:szCs w:val="20"/>
        </w:rPr>
        <w:t>Sam Austrums</w:t>
      </w:r>
    </w:p>
    <w:p w14:paraId="2B070F97" w14:textId="77777777" w:rsidR="00BD0800" w:rsidRPr="00C707F9" w:rsidRDefault="00BD0800" w:rsidP="00BD0800">
      <w:pPr>
        <w:pStyle w:val="bo"/>
        <w:spacing w:before="0" w:beforeAutospacing="0" w:after="0" w:afterAutospacing="0"/>
        <w:jc w:val="both"/>
        <w:rPr>
          <w:rFonts w:asciiTheme="minorHAnsi" w:hAnsiTheme="minorHAnsi" w:cstheme="minorHAnsi"/>
          <w:color w:val="16202C"/>
          <w:sz w:val="20"/>
          <w:szCs w:val="20"/>
        </w:rPr>
      </w:pPr>
      <w:r w:rsidRPr="00C707F9">
        <w:rPr>
          <w:rFonts w:asciiTheme="minorHAnsi" w:hAnsiTheme="minorHAnsi" w:cstheme="minorHAnsi"/>
          <w:color w:val="16202C"/>
          <w:sz w:val="20"/>
          <w:szCs w:val="20"/>
        </w:rPr>
        <w:t> </w:t>
      </w:r>
    </w:p>
    <w:p w14:paraId="658633BB" w14:textId="56E794DC" w:rsidR="00BD0800" w:rsidRPr="00C707F9" w:rsidRDefault="00BD0800" w:rsidP="00BD0800">
      <w:pPr>
        <w:pStyle w:val="bo"/>
        <w:spacing w:before="0" w:beforeAutospacing="0" w:after="0" w:afterAutospacing="0"/>
        <w:jc w:val="both"/>
        <w:rPr>
          <w:rFonts w:asciiTheme="minorHAnsi" w:hAnsiTheme="minorHAnsi" w:cstheme="minorHAnsi"/>
          <w:color w:val="16202C"/>
          <w:sz w:val="20"/>
          <w:szCs w:val="20"/>
        </w:rPr>
      </w:pPr>
      <w:r w:rsidRPr="00C707F9">
        <w:rPr>
          <w:rFonts w:asciiTheme="minorHAnsi" w:hAnsiTheme="minorHAnsi" w:cstheme="minorHAnsi"/>
          <w:b/>
          <w:bCs/>
          <w:color w:val="16202C"/>
          <w:sz w:val="20"/>
          <w:szCs w:val="20"/>
        </w:rPr>
        <w:t>Notes to Editors</w:t>
      </w:r>
    </w:p>
    <w:p w14:paraId="6205A162" w14:textId="77777777" w:rsidR="00BD0800" w:rsidRPr="00C707F9" w:rsidRDefault="00BD0800" w:rsidP="00BD0800">
      <w:pPr>
        <w:pStyle w:val="bo"/>
        <w:spacing w:before="0" w:beforeAutospacing="0" w:after="0" w:afterAutospacing="0"/>
        <w:jc w:val="both"/>
        <w:rPr>
          <w:rFonts w:asciiTheme="minorHAnsi" w:hAnsiTheme="minorHAnsi" w:cstheme="minorHAnsi"/>
          <w:color w:val="16202C"/>
          <w:sz w:val="20"/>
          <w:szCs w:val="20"/>
        </w:rPr>
      </w:pPr>
      <w:r w:rsidRPr="00C707F9">
        <w:rPr>
          <w:rFonts w:asciiTheme="minorHAnsi" w:hAnsiTheme="minorHAnsi" w:cstheme="minorHAnsi"/>
          <w:color w:val="16202C"/>
          <w:sz w:val="20"/>
          <w:szCs w:val="20"/>
        </w:rPr>
        <w:t xml:space="preserve">Ultimate Products is the owner of a number of leading homeware brands including Salter (the UK's oldest houseware brand, established in 1760) and </w:t>
      </w:r>
      <w:proofErr w:type="spellStart"/>
      <w:r w:rsidRPr="00C707F9">
        <w:rPr>
          <w:rFonts w:asciiTheme="minorHAnsi" w:hAnsiTheme="minorHAnsi" w:cstheme="minorHAnsi"/>
          <w:color w:val="16202C"/>
          <w:sz w:val="20"/>
          <w:szCs w:val="20"/>
        </w:rPr>
        <w:t>Beldray</w:t>
      </w:r>
      <w:proofErr w:type="spellEnd"/>
      <w:r w:rsidRPr="00C707F9">
        <w:rPr>
          <w:rFonts w:asciiTheme="minorHAnsi" w:hAnsiTheme="minorHAnsi" w:cstheme="minorHAnsi"/>
          <w:color w:val="16202C"/>
          <w:sz w:val="20"/>
          <w:szCs w:val="20"/>
        </w:rPr>
        <w:t xml:space="preserve"> (a laundry, floor care, heating and cooling brand that was established in 1872). According to its market research, nearly 80% of UK households own at least one of the Group's products.</w:t>
      </w:r>
    </w:p>
    <w:p w14:paraId="0D0D19B3" w14:textId="77777777" w:rsidR="00BD0800" w:rsidRPr="00C707F9" w:rsidRDefault="00BD0800" w:rsidP="00BD0800">
      <w:pPr>
        <w:pStyle w:val="bo"/>
        <w:spacing w:before="0" w:beforeAutospacing="0" w:after="0" w:afterAutospacing="0"/>
        <w:jc w:val="both"/>
        <w:rPr>
          <w:rFonts w:asciiTheme="minorHAnsi" w:hAnsiTheme="minorHAnsi" w:cstheme="minorHAnsi"/>
          <w:color w:val="16202C"/>
          <w:sz w:val="20"/>
          <w:szCs w:val="20"/>
        </w:rPr>
      </w:pPr>
      <w:r w:rsidRPr="00C707F9">
        <w:rPr>
          <w:rFonts w:asciiTheme="minorHAnsi" w:hAnsiTheme="minorHAnsi" w:cstheme="minorHAnsi"/>
          <w:color w:val="16202C"/>
          <w:sz w:val="20"/>
          <w:szCs w:val="20"/>
        </w:rPr>
        <w:t> </w:t>
      </w:r>
    </w:p>
    <w:p w14:paraId="4A9FAD7C" w14:textId="1E1C5CC6" w:rsidR="00BD0800" w:rsidRPr="00C707F9" w:rsidRDefault="00BD0800" w:rsidP="00BD0800">
      <w:pPr>
        <w:pStyle w:val="bo"/>
        <w:spacing w:before="0" w:beforeAutospacing="0" w:after="0" w:afterAutospacing="0"/>
        <w:jc w:val="both"/>
        <w:rPr>
          <w:rFonts w:asciiTheme="minorHAnsi" w:hAnsiTheme="minorHAnsi" w:cstheme="minorHAnsi"/>
          <w:color w:val="16202C"/>
          <w:sz w:val="20"/>
          <w:szCs w:val="20"/>
        </w:rPr>
      </w:pPr>
      <w:r w:rsidRPr="00C707F9">
        <w:rPr>
          <w:rFonts w:asciiTheme="minorHAnsi" w:hAnsiTheme="minorHAnsi" w:cstheme="minorHAnsi"/>
          <w:color w:val="16202C"/>
          <w:sz w:val="20"/>
          <w:szCs w:val="20"/>
        </w:rPr>
        <w:t>Ultimate Products sells to over 300 retailers across</w:t>
      </w:r>
      <w:r w:rsidR="009E7467">
        <w:rPr>
          <w:rFonts w:asciiTheme="minorHAnsi" w:hAnsiTheme="minorHAnsi" w:cstheme="minorHAnsi"/>
          <w:color w:val="16202C"/>
          <w:sz w:val="20"/>
          <w:szCs w:val="20"/>
        </w:rPr>
        <w:t xml:space="preserve"> more than</w:t>
      </w:r>
      <w:r w:rsidR="00C87D2B">
        <w:rPr>
          <w:rFonts w:asciiTheme="minorHAnsi" w:hAnsiTheme="minorHAnsi" w:cstheme="minorHAnsi"/>
          <w:color w:val="16202C"/>
          <w:sz w:val="20"/>
          <w:szCs w:val="20"/>
        </w:rPr>
        <w:t xml:space="preserve"> 40</w:t>
      </w:r>
      <w:r w:rsidRPr="00C707F9">
        <w:rPr>
          <w:rFonts w:asciiTheme="minorHAnsi" w:hAnsiTheme="minorHAnsi" w:cstheme="minorHAnsi"/>
          <w:color w:val="16202C"/>
          <w:sz w:val="20"/>
          <w:szCs w:val="20"/>
        </w:rPr>
        <w:t xml:space="preserve"> </w:t>
      </w:r>
      <w:proofErr w:type="gramStart"/>
      <w:r w:rsidRPr="00C707F9">
        <w:rPr>
          <w:rFonts w:asciiTheme="minorHAnsi" w:hAnsiTheme="minorHAnsi" w:cstheme="minorHAnsi"/>
          <w:color w:val="16202C"/>
          <w:sz w:val="20"/>
          <w:szCs w:val="20"/>
        </w:rPr>
        <w:t>countries, and</w:t>
      </w:r>
      <w:proofErr w:type="gramEnd"/>
      <w:r w:rsidRPr="00C707F9">
        <w:rPr>
          <w:rFonts w:asciiTheme="minorHAnsi" w:hAnsiTheme="minorHAnsi" w:cstheme="minorHAnsi"/>
          <w:color w:val="16202C"/>
          <w:sz w:val="20"/>
          <w:szCs w:val="20"/>
        </w:rPr>
        <w:t xml:space="preserve"> specialises in five product categories: Small Domestic Appliances; Housewares; Laundry; Audio; and Heating and Cooling. Other brands include Progress (cookware and bakeware), </w:t>
      </w:r>
      <w:proofErr w:type="spellStart"/>
      <w:r w:rsidRPr="00C707F9">
        <w:rPr>
          <w:rFonts w:asciiTheme="minorHAnsi" w:hAnsiTheme="minorHAnsi" w:cstheme="minorHAnsi"/>
          <w:color w:val="16202C"/>
          <w:sz w:val="20"/>
          <w:szCs w:val="20"/>
        </w:rPr>
        <w:t>Kleeneze</w:t>
      </w:r>
      <w:proofErr w:type="spellEnd"/>
      <w:r w:rsidRPr="00C707F9">
        <w:rPr>
          <w:rFonts w:asciiTheme="minorHAnsi" w:hAnsiTheme="minorHAnsi" w:cstheme="minorHAnsi"/>
          <w:color w:val="16202C"/>
          <w:sz w:val="20"/>
          <w:szCs w:val="20"/>
        </w:rPr>
        <w:t xml:space="preserve"> (laundry and floorcare), Petra (small domestic appliances) and </w:t>
      </w:r>
      <w:proofErr w:type="spellStart"/>
      <w:r w:rsidRPr="00C707F9">
        <w:rPr>
          <w:rFonts w:asciiTheme="minorHAnsi" w:hAnsiTheme="minorHAnsi" w:cstheme="minorHAnsi"/>
          <w:color w:val="16202C"/>
          <w:sz w:val="20"/>
          <w:szCs w:val="20"/>
        </w:rPr>
        <w:t>Intempo</w:t>
      </w:r>
      <w:proofErr w:type="spellEnd"/>
      <w:r w:rsidRPr="00C707F9">
        <w:rPr>
          <w:rFonts w:asciiTheme="minorHAnsi" w:hAnsiTheme="minorHAnsi" w:cstheme="minorHAnsi"/>
          <w:color w:val="16202C"/>
          <w:sz w:val="20"/>
          <w:szCs w:val="20"/>
        </w:rPr>
        <w:t xml:space="preserve"> (audio).</w:t>
      </w:r>
    </w:p>
    <w:p w14:paraId="6ACF567F" w14:textId="77777777" w:rsidR="00BD0800" w:rsidRPr="00C707F9" w:rsidRDefault="00BD0800" w:rsidP="00BD0800">
      <w:pPr>
        <w:pStyle w:val="bo"/>
        <w:spacing w:before="0" w:beforeAutospacing="0" w:after="0" w:afterAutospacing="0"/>
        <w:jc w:val="both"/>
        <w:rPr>
          <w:rFonts w:asciiTheme="minorHAnsi" w:hAnsiTheme="minorHAnsi" w:cstheme="minorHAnsi"/>
          <w:color w:val="16202C"/>
          <w:sz w:val="20"/>
          <w:szCs w:val="20"/>
        </w:rPr>
      </w:pPr>
      <w:r w:rsidRPr="00C707F9">
        <w:rPr>
          <w:rFonts w:asciiTheme="minorHAnsi" w:hAnsiTheme="minorHAnsi" w:cstheme="minorHAnsi"/>
          <w:color w:val="16202C"/>
          <w:sz w:val="20"/>
          <w:szCs w:val="20"/>
        </w:rPr>
        <w:t> </w:t>
      </w:r>
    </w:p>
    <w:p w14:paraId="2F3627EB" w14:textId="77777777" w:rsidR="00BD0800" w:rsidRPr="00C707F9" w:rsidRDefault="00BD0800" w:rsidP="00BD0800">
      <w:pPr>
        <w:pStyle w:val="bo"/>
        <w:spacing w:before="0" w:beforeAutospacing="0" w:after="0" w:afterAutospacing="0"/>
        <w:jc w:val="both"/>
        <w:rPr>
          <w:rFonts w:asciiTheme="minorHAnsi" w:hAnsiTheme="minorHAnsi" w:cstheme="minorHAnsi"/>
          <w:color w:val="16202C"/>
          <w:sz w:val="20"/>
          <w:szCs w:val="20"/>
        </w:rPr>
      </w:pPr>
      <w:r w:rsidRPr="00C707F9">
        <w:rPr>
          <w:rFonts w:asciiTheme="minorHAnsi" w:hAnsiTheme="minorHAnsi" w:cstheme="minorHAnsi"/>
          <w:color w:val="16202C"/>
          <w:sz w:val="20"/>
          <w:szCs w:val="20"/>
        </w:rPr>
        <w:t>The Group's products are sold to a broad cross-section of both large national and international multi-channel retailers as well as smaller national retail chains, incorporating discount retailers, supermarkets, general retailers and online retailers.</w:t>
      </w:r>
    </w:p>
    <w:p w14:paraId="4BA63DDC" w14:textId="77777777" w:rsidR="00BD0800" w:rsidRPr="00C707F9" w:rsidRDefault="00BD0800" w:rsidP="00BD0800">
      <w:pPr>
        <w:pStyle w:val="bo"/>
        <w:spacing w:before="0" w:beforeAutospacing="0" w:after="0" w:afterAutospacing="0"/>
        <w:jc w:val="both"/>
        <w:rPr>
          <w:rFonts w:asciiTheme="minorHAnsi" w:hAnsiTheme="minorHAnsi" w:cstheme="minorHAnsi"/>
          <w:color w:val="16202C"/>
          <w:sz w:val="20"/>
          <w:szCs w:val="20"/>
        </w:rPr>
      </w:pPr>
      <w:r w:rsidRPr="00C707F9">
        <w:rPr>
          <w:rFonts w:asciiTheme="minorHAnsi" w:hAnsiTheme="minorHAnsi" w:cstheme="minorHAnsi"/>
          <w:color w:val="16202C"/>
          <w:sz w:val="20"/>
          <w:szCs w:val="20"/>
        </w:rPr>
        <w:t> </w:t>
      </w:r>
    </w:p>
    <w:p w14:paraId="439FF272" w14:textId="77777777" w:rsidR="00BD0800" w:rsidRPr="00C707F9" w:rsidRDefault="00BD0800" w:rsidP="00BD0800">
      <w:pPr>
        <w:pStyle w:val="bo"/>
        <w:spacing w:before="0" w:beforeAutospacing="0" w:after="0" w:afterAutospacing="0"/>
        <w:jc w:val="both"/>
        <w:rPr>
          <w:rFonts w:asciiTheme="minorHAnsi" w:hAnsiTheme="minorHAnsi" w:cstheme="minorHAnsi"/>
          <w:color w:val="16202C"/>
          <w:sz w:val="20"/>
          <w:szCs w:val="20"/>
        </w:rPr>
      </w:pPr>
      <w:r w:rsidRPr="00C707F9">
        <w:rPr>
          <w:rFonts w:asciiTheme="minorHAnsi" w:hAnsiTheme="minorHAnsi" w:cstheme="minorHAnsi"/>
          <w:color w:val="16202C"/>
          <w:sz w:val="20"/>
          <w:szCs w:val="20"/>
        </w:rPr>
        <w:t xml:space="preserve">Founded in 1997, Ultimate Products employs over 370 staff, a significant number of whom have joined via the Group's graduate development scheme, and is headquartered in Oldham, Greater Manchester, where it has design, sales, marketing, buying, quality assurance, support functions and warehouse facilities across two sites. Manor Mill, the Group's head office, includes a spectacular 20,000 </w:t>
      </w:r>
      <w:proofErr w:type="spellStart"/>
      <w:r w:rsidRPr="00C707F9">
        <w:rPr>
          <w:rFonts w:asciiTheme="minorHAnsi" w:hAnsiTheme="minorHAnsi" w:cstheme="minorHAnsi"/>
          <w:color w:val="16202C"/>
          <w:sz w:val="20"/>
          <w:szCs w:val="20"/>
        </w:rPr>
        <w:t>sq</w:t>
      </w:r>
      <w:proofErr w:type="spellEnd"/>
      <w:r w:rsidRPr="00C707F9">
        <w:rPr>
          <w:rFonts w:asciiTheme="minorHAnsi" w:hAnsiTheme="minorHAnsi" w:cstheme="minorHAnsi"/>
          <w:color w:val="16202C"/>
          <w:sz w:val="20"/>
          <w:szCs w:val="20"/>
        </w:rPr>
        <w:t xml:space="preserve"> ft showroom that showcases each of its brands. In addition, the Group has an office and showroom in Guangzhou, China and in Cologne, Germany.</w:t>
      </w:r>
    </w:p>
    <w:p w14:paraId="6A24CADD" w14:textId="77777777" w:rsidR="00BD0800" w:rsidRPr="00C707F9" w:rsidRDefault="00BD0800" w:rsidP="00BD0800">
      <w:pPr>
        <w:pStyle w:val="bo"/>
        <w:spacing w:before="0" w:beforeAutospacing="0" w:after="0" w:afterAutospacing="0"/>
        <w:jc w:val="both"/>
        <w:rPr>
          <w:rFonts w:asciiTheme="minorHAnsi" w:hAnsiTheme="minorHAnsi" w:cstheme="minorHAnsi"/>
          <w:color w:val="16202C"/>
          <w:sz w:val="20"/>
          <w:szCs w:val="20"/>
        </w:rPr>
      </w:pPr>
      <w:r w:rsidRPr="00C707F9">
        <w:rPr>
          <w:rFonts w:asciiTheme="minorHAnsi" w:hAnsiTheme="minorHAnsi" w:cstheme="minorHAnsi"/>
          <w:color w:val="16202C"/>
          <w:sz w:val="20"/>
          <w:szCs w:val="20"/>
        </w:rPr>
        <w:t> </w:t>
      </w:r>
    </w:p>
    <w:p w14:paraId="20877D1E" w14:textId="77777777" w:rsidR="00BD0800" w:rsidRPr="00C707F9" w:rsidRDefault="00BD0800" w:rsidP="00BD0800">
      <w:pPr>
        <w:pStyle w:val="bo"/>
        <w:spacing w:before="0" w:beforeAutospacing="0" w:after="0" w:afterAutospacing="0"/>
        <w:jc w:val="both"/>
        <w:rPr>
          <w:rFonts w:asciiTheme="minorHAnsi" w:hAnsiTheme="minorHAnsi" w:cstheme="minorHAnsi"/>
          <w:color w:val="16202C"/>
          <w:sz w:val="20"/>
          <w:szCs w:val="20"/>
        </w:rPr>
      </w:pPr>
      <w:r w:rsidRPr="00C707F9">
        <w:rPr>
          <w:rFonts w:asciiTheme="minorHAnsi" w:hAnsiTheme="minorHAnsi" w:cstheme="minorHAnsi"/>
          <w:color w:val="16202C"/>
          <w:sz w:val="20"/>
          <w:szCs w:val="20"/>
        </w:rPr>
        <w:t xml:space="preserve">Please note that Ultimate Products is </w:t>
      </w:r>
      <w:r w:rsidRPr="00C707F9">
        <w:rPr>
          <w:rFonts w:asciiTheme="minorHAnsi" w:hAnsiTheme="minorHAnsi" w:cstheme="minorHAnsi"/>
          <w:color w:val="16202C"/>
          <w:sz w:val="20"/>
          <w:szCs w:val="20"/>
          <w:u w:val="single"/>
        </w:rPr>
        <w:t>not</w:t>
      </w:r>
      <w:r w:rsidRPr="00C707F9">
        <w:rPr>
          <w:rFonts w:asciiTheme="minorHAnsi" w:hAnsiTheme="minorHAnsi" w:cstheme="minorHAnsi"/>
          <w:color w:val="16202C"/>
          <w:sz w:val="20"/>
          <w:szCs w:val="20"/>
        </w:rPr>
        <w:t xml:space="preserve"> the owner of Russell Hobbs. The company currently has licence agreements in place granting it an exclusive licence to use the "Russell Hobbs" trademark for cookware (NB this does not include Russell Hobbs electrical appliances).</w:t>
      </w:r>
    </w:p>
    <w:p w14:paraId="2309E6FC" w14:textId="4DFE4218" w:rsidR="00AC3DFC" w:rsidRPr="00C707F9" w:rsidRDefault="00BD0800" w:rsidP="00BD0800">
      <w:pPr>
        <w:pStyle w:val="bo"/>
        <w:spacing w:before="0" w:beforeAutospacing="0" w:after="0" w:afterAutospacing="0"/>
        <w:jc w:val="both"/>
        <w:rPr>
          <w:rFonts w:asciiTheme="minorHAnsi" w:hAnsiTheme="minorHAnsi" w:cstheme="minorHAnsi"/>
          <w:color w:val="16202C"/>
          <w:sz w:val="20"/>
          <w:szCs w:val="20"/>
        </w:rPr>
      </w:pPr>
      <w:r w:rsidRPr="00C707F9">
        <w:rPr>
          <w:rFonts w:asciiTheme="minorHAnsi" w:hAnsiTheme="minorHAnsi" w:cstheme="minorHAnsi"/>
          <w:color w:val="16202C"/>
          <w:sz w:val="20"/>
          <w:szCs w:val="20"/>
        </w:rPr>
        <w:t> </w:t>
      </w:r>
    </w:p>
    <w:p w14:paraId="55F71AF0" w14:textId="77777777" w:rsidR="00BD0800" w:rsidRPr="00C707F9" w:rsidRDefault="00BD0800" w:rsidP="00BD0800">
      <w:pPr>
        <w:pStyle w:val="bo"/>
        <w:spacing w:before="0" w:beforeAutospacing="0" w:after="0" w:afterAutospacing="0"/>
        <w:jc w:val="both"/>
        <w:rPr>
          <w:rFonts w:asciiTheme="minorHAnsi" w:hAnsiTheme="minorHAnsi" w:cstheme="minorHAnsi"/>
          <w:color w:val="16202C"/>
          <w:sz w:val="20"/>
          <w:szCs w:val="20"/>
        </w:rPr>
      </w:pPr>
      <w:r w:rsidRPr="00C707F9">
        <w:rPr>
          <w:rFonts w:asciiTheme="minorHAnsi" w:hAnsiTheme="minorHAnsi" w:cstheme="minorHAnsi"/>
          <w:color w:val="16202C"/>
          <w:sz w:val="20"/>
          <w:szCs w:val="20"/>
        </w:rPr>
        <w:t>For further information, please visit </w:t>
      </w:r>
      <w:hyperlink r:id="rId13" w:history="1">
        <w:r w:rsidRPr="00C707F9">
          <w:rPr>
            <w:rStyle w:val="Hyperlink"/>
            <w:rFonts w:asciiTheme="minorHAnsi" w:hAnsiTheme="minorHAnsi" w:cstheme="minorHAnsi"/>
            <w:sz w:val="20"/>
            <w:szCs w:val="20"/>
          </w:rPr>
          <w:t>www.upgs.com</w:t>
        </w:r>
      </w:hyperlink>
    </w:p>
    <w:p w14:paraId="1A2DF483" w14:textId="77777777" w:rsidR="00F451FC" w:rsidRDefault="00F451FC" w:rsidP="00243A3F">
      <w:pPr>
        <w:spacing w:after="0" w:line="240" w:lineRule="auto"/>
        <w:rPr>
          <w:rFonts w:asciiTheme="minorHAnsi" w:hAnsiTheme="minorHAnsi" w:cstheme="minorHAnsi"/>
          <w:b/>
          <w:color w:val="000000" w:themeColor="text1"/>
          <w:sz w:val="20"/>
          <w:szCs w:val="20"/>
        </w:rPr>
      </w:pPr>
    </w:p>
    <w:p w14:paraId="6D624FF1" w14:textId="6CDEF445" w:rsidR="00CF4125" w:rsidRDefault="00CF4125" w:rsidP="00243A3F">
      <w:pPr>
        <w:spacing w:after="0" w:line="240" w:lineRule="auto"/>
        <w:rPr>
          <w:rFonts w:asciiTheme="minorHAnsi" w:hAnsiTheme="minorHAnsi" w:cstheme="minorHAnsi"/>
          <w:b/>
          <w:color w:val="000000" w:themeColor="text1"/>
          <w:sz w:val="20"/>
          <w:szCs w:val="20"/>
        </w:rPr>
      </w:pPr>
    </w:p>
    <w:p w14:paraId="404DF400" w14:textId="4D4302A3" w:rsidR="00DF243B" w:rsidRDefault="00DF243B" w:rsidP="00243A3F">
      <w:pPr>
        <w:spacing w:after="0" w:line="240" w:lineRule="auto"/>
        <w:rPr>
          <w:rFonts w:asciiTheme="minorHAnsi" w:hAnsiTheme="minorHAnsi" w:cstheme="minorHAnsi"/>
          <w:b/>
          <w:color w:val="000000" w:themeColor="text1"/>
          <w:sz w:val="20"/>
          <w:szCs w:val="20"/>
        </w:rPr>
      </w:pPr>
    </w:p>
    <w:p w14:paraId="1EC90F25" w14:textId="67793FD4" w:rsidR="00DF243B" w:rsidRDefault="00DF243B" w:rsidP="00243A3F">
      <w:pPr>
        <w:spacing w:after="0" w:line="240" w:lineRule="auto"/>
        <w:rPr>
          <w:rFonts w:asciiTheme="minorHAnsi" w:hAnsiTheme="minorHAnsi" w:cstheme="minorHAnsi"/>
          <w:b/>
          <w:color w:val="000000" w:themeColor="text1"/>
          <w:sz w:val="20"/>
          <w:szCs w:val="20"/>
        </w:rPr>
      </w:pPr>
    </w:p>
    <w:p w14:paraId="502C0BDD" w14:textId="17EB26AF" w:rsidR="00243A3F" w:rsidRPr="006D26BB" w:rsidRDefault="00243A3F" w:rsidP="00243A3F">
      <w:pPr>
        <w:spacing w:after="0" w:line="240" w:lineRule="auto"/>
        <w:rPr>
          <w:rFonts w:asciiTheme="minorHAnsi" w:hAnsiTheme="minorHAnsi" w:cstheme="minorHAnsi"/>
          <w:b/>
          <w:color w:val="000000" w:themeColor="text1"/>
          <w:sz w:val="20"/>
          <w:szCs w:val="20"/>
        </w:rPr>
      </w:pPr>
      <w:r w:rsidRPr="006D26BB">
        <w:rPr>
          <w:rFonts w:asciiTheme="minorHAnsi" w:hAnsiTheme="minorHAnsi" w:cstheme="minorHAnsi"/>
          <w:b/>
          <w:color w:val="000000" w:themeColor="text1"/>
          <w:sz w:val="20"/>
          <w:szCs w:val="20"/>
        </w:rPr>
        <w:lastRenderedPageBreak/>
        <w:t>BUSINESS REVIEW</w:t>
      </w:r>
    </w:p>
    <w:p w14:paraId="7A426D0B" w14:textId="77777777" w:rsidR="00243A3F" w:rsidRPr="006D26BB" w:rsidRDefault="00243A3F" w:rsidP="00243A3F">
      <w:pPr>
        <w:spacing w:after="0" w:line="240" w:lineRule="auto"/>
        <w:jc w:val="both"/>
        <w:rPr>
          <w:rFonts w:asciiTheme="minorHAnsi" w:hAnsiTheme="minorHAnsi" w:cstheme="minorHAnsi"/>
          <w:color w:val="000000" w:themeColor="text1"/>
          <w:sz w:val="20"/>
          <w:szCs w:val="20"/>
        </w:rPr>
      </w:pPr>
    </w:p>
    <w:p w14:paraId="759D50DD" w14:textId="1EC73E46" w:rsidR="00243A3F" w:rsidRPr="006D26BB" w:rsidRDefault="00243A3F" w:rsidP="00F366C5">
      <w:pPr>
        <w:spacing w:after="0" w:line="240" w:lineRule="auto"/>
        <w:rPr>
          <w:rFonts w:asciiTheme="minorHAnsi" w:hAnsiTheme="minorHAnsi" w:cstheme="minorHAnsi"/>
          <w:sz w:val="20"/>
          <w:szCs w:val="20"/>
          <w:lang w:val="en-US"/>
        </w:rPr>
      </w:pPr>
      <w:r w:rsidRPr="006D26BB">
        <w:rPr>
          <w:rFonts w:asciiTheme="minorHAnsi" w:hAnsiTheme="minorHAnsi" w:cstheme="minorHAnsi"/>
          <w:sz w:val="20"/>
          <w:szCs w:val="20"/>
          <w:lang w:val="en-US"/>
        </w:rPr>
        <w:t xml:space="preserve">We are pleased to present the Interim Report for the six months ended 31 January 2023, a period </w:t>
      </w:r>
      <w:r w:rsidR="00F366C5">
        <w:rPr>
          <w:rFonts w:asciiTheme="minorHAnsi" w:hAnsiTheme="minorHAnsi" w:cstheme="minorHAnsi"/>
          <w:sz w:val="20"/>
          <w:szCs w:val="20"/>
          <w:lang w:val="en-US"/>
        </w:rPr>
        <w:t>in which</w:t>
      </w:r>
      <w:r w:rsidRPr="006D26BB">
        <w:rPr>
          <w:rFonts w:asciiTheme="minorHAnsi" w:hAnsiTheme="minorHAnsi" w:cstheme="minorHAnsi"/>
          <w:sz w:val="20"/>
          <w:szCs w:val="20"/>
          <w:lang w:val="en-US"/>
        </w:rPr>
        <w:t xml:space="preserve">, against </w:t>
      </w:r>
      <w:r w:rsidR="00F21F0D" w:rsidRPr="006D26BB">
        <w:rPr>
          <w:rFonts w:asciiTheme="minorHAnsi" w:hAnsiTheme="minorHAnsi" w:cstheme="minorHAnsi"/>
          <w:sz w:val="20"/>
          <w:szCs w:val="20"/>
          <w:lang w:val="en-US"/>
        </w:rPr>
        <w:t xml:space="preserve">an uncertain </w:t>
      </w:r>
      <w:r w:rsidR="00A42F69">
        <w:rPr>
          <w:rFonts w:asciiTheme="minorHAnsi" w:hAnsiTheme="minorHAnsi" w:cstheme="minorHAnsi"/>
          <w:sz w:val="20"/>
          <w:szCs w:val="20"/>
          <w:lang w:val="en-US"/>
        </w:rPr>
        <w:t xml:space="preserve">and highly challenging </w:t>
      </w:r>
      <w:r w:rsidR="00F21F0D" w:rsidRPr="006D26BB">
        <w:rPr>
          <w:rFonts w:asciiTheme="minorHAnsi" w:hAnsiTheme="minorHAnsi" w:cstheme="minorHAnsi"/>
          <w:sz w:val="20"/>
          <w:szCs w:val="20"/>
          <w:lang w:val="en-US"/>
        </w:rPr>
        <w:t>macro-economic environment</w:t>
      </w:r>
      <w:r w:rsidR="0017327B">
        <w:rPr>
          <w:rFonts w:asciiTheme="minorHAnsi" w:hAnsiTheme="minorHAnsi" w:cstheme="minorHAnsi"/>
          <w:sz w:val="20"/>
          <w:szCs w:val="20"/>
          <w:lang w:val="en-US"/>
        </w:rPr>
        <w:t>,</w:t>
      </w:r>
      <w:r w:rsidR="00F21F0D" w:rsidRPr="006D26BB">
        <w:rPr>
          <w:rFonts w:asciiTheme="minorHAnsi" w:hAnsiTheme="minorHAnsi" w:cstheme="minorHAnsi"/>
          <w:sz w:val="20"/>
          <w:szCs w:val="20"/>
          <w:lang w:val="en-US"/>
        </w:rPr>
        <w:t xml:space="preserve"> we have continued to</w:t>
      </w:r>
      <w:r w:rsidR="00D30FD4" w:rsidRPr="006D26BB">
        <w:rPr>
          <w:rFonts w:asciiTheme="minorHAnsi" w:hAnsiTheme="minorHAnsi" w:cstheme="minorHAnsi"/>
          <w:sz w:val="20"/>
          <w:szCs w:val="20"/>
          <w:lang w:val="en-US"/>
        </w:rPr>
        <w:t xml:space="preserve"> invest in our strategic plans.</w:t>
      </w:r>
      <w:r w:rsidRPr="006D26BB">
        <w:rPr>
          <w:rFonts w:asciiTheme="minorHAnsi" w:hAnsiTheme="minorHAnsi" w:cstheme="minorHAnsi"/>
          <w:sz w:val="20"/>
          <w:szCs w:val="20"/>
          <w:lang w:val="en-US"/>
        </w:rPr>
        <w:t xml:space="preserve"> </w:t>
      </w:r>
    </w:p>
    <w:p w14:paraId="2F3420ED" w14:textId="77777777" w:rsidR="00243A3F" w:rsidRPr="006D26BB" w:rsidRDefault="00243A3F" w:rsidP="00243A3F">
      <w:pPr>
        <w:spacing w:after="0" w:line="240" w:lineRule="auto"/>
        <w:jc w:val="both"/>
        <w:rPr>
          <w:rFonts w:asciiTheme="minorHAnsi" w:hAnsiTheme="minorHAnsi" w:cstheme="minorHAnsi"/>
          <w:color w:val="000000" w:themeColor="text1"/>
          <w:sz w:val="20"/>
          <w:szCs w:val="20"/>
        </w:rPr>
      </w:pPr>
    </w:p>
    <w:p w14:paraId="7DDFFAA3" w14:textId="77777777" w:rsidR="00243A3F" w:rsidRPr="006D26BB" w:rsidRDefault="00243A3F" w:rsidP="00243A3F">
      <w:pPr>
        <w:spacing w:after="0" w:line="240" w:lineRule="auto"/>
        <w:jc w:val="both"/>
        <w:rPr>
          <w:rFonts w:asciiTheme="minorHAnsi" w:hAnsiTheme="minorHAnsi" w:cstheme="minorHAnsi"/>
          <w:b/>
          <w:bCs/>
          <w:color w:val="000000" w:themeColor="text1"/>
          <w:sz w:val="20"/>
          <w:szCs w:val="20"/>
        </w:rPr>
      </w:pPr>
      <w:r w:rsidRPr="006D26BB">
        <w:rPr>
          <w:rFonts w:asciiTheme="minorHAnsi" w:hAnsiTheme="minorHAnsi" w:cstheme="minorHAnsi"/>
          <w:b/>
          <w:bCs/>
          <w:color w:val="000000" w:themeColor="text1"/>
          <w:sz w:val="20"/>
          <w:szCs w:val="20"/>
        </w:rPr>
        <w:t>Brand Development</w:t>
      </w:r>
    </w:p>
    <w:p w14:paraId="2307EF79" w14:textId="411FE1E2" w:rsidR="008E6362" w:rsidRPr="002340A1" w:rsidRDefault="00243A3F" w:rsidP="00243A3F">
      <w:pPr>
        <w:spacing w:after="0" w:line="240" w:lineRule="auto"/>
        <w:jc w:val="both"/>
        <w:rPr>
          <w:rFonts w:asciiTheme="minorHAnsi" w:hAnsiTheme="minorHAnsi" w:cstheme="minorHAnsi"/>
          <w:color w:val="000000" w:themeColor="text1"/>
          <w:sz w:val="20"/>
          <w:szCs w:val="20"/>
          <w:highlight w:val="yellow"/>
        </w:rPr>
      </w:pPr>
      <w:r w:rsidRPr="006D26BB">
        <w:rPr>
          <w:rFonts w:asciiTheme="minorHAnsi" w:hAnsiTheme="minorHAnsi" w:cstheme="minorHAnsi"/>
          <w:bCs/>
          <w:color w:val="000000" w:themeColor="text1"/>
          <w:sz w:val="20"/>
          <w:szCs w:val="20"/>
        </w:rPr>
        <w:t>Our purpose is to provide beautiful and more sustainable products for every home</w:t>
      </w:r>
      <w:r w:rsidR="005330E9">
        <w:rPr>
          <w:rFonts w:asciiTheme="minorHAnsi" w:hAnsiTheme="minorHAnsi" w:cstheme="minorHAnsi"/>
          <w:bCs/>
          <w:color w:val="000000" w:themeColor="text1"/>
          <w:sz w:val="20"/>
          <w:szCs w:val="20"/>
        </w:rPr>
        <w:t>, and o</w:t>
      </w:r>
      <w:r w:rsidR="00D60F7D">
        <w:rPr>
          <w:rFonts w:asciiTheme="minorHAnsi" w:hAnsiTheme="minorHAnsi" w:cstheme="minorHAnsi"/>
          <w:color w:val="000000" w:themeColor="text1"/>
          <w:sz w:val="20"/>
          <w:szCs w:val="20"/>
        </w:rPr>
        <w:t xml:space="preserve">ur vision is </w:t>
      </w:r>
      <w:r w:rsidRPr="006D26BB">
        <w:rPr>
          <w:rFonts w:asciiTheme="minorHAnsi" w:hAnsiTheme="minorHAnsi" w:cstheme="minorHAnsi"/>
          <w:color w:val="000000" w:themeColor="text1"/>
          <w:sz w:val="20"/>
          <w:szCs w:val="20"/>
        </w:rPr>
        <w:t>to be the Home of Brands</w:t>
      </w:r>
      <w:r w:rsidR="00DA1750">
        <w:rPr>
          <w:rFonts w:asciiTheme="minorHAnsi" w:hAnsiTheme="minorHAnsi" w:cstheme="minorHAnsi"/>
          <w:color w:val="000000" w:themeColor="text1"/>
          <w:sz w:val="20"/>
          <w:szCs w:val="20"/>
        </w:rPr>
        <w:t xml:space="preserve">. </w:t>
      </w:r>
      <w:r w:rsidR="0000295E">
        <w:rPr>
          <w:rFonts w:asciiTheme="minorHAnsi" w:hAnsiTheme="minorHAnsi" w:cstheme="minorHAnsi"/>
          <w:color w:val="000000" w:themeColor="text1"/>
          <w:sz w:val="20"/>
          <w:szCs w:val="20"/>
        </w:rPr>
        <w:t>We</w:t>
      </w:r>
      <w:r w:rsidR="00DA1750">
        <w:rPr>
          <w:rFonts w:asciiTheme="minorHAnsi" w:hAnsiTheme="minorHAnsi" w:cstheme="minorHAnsi"/>
          <w:color w:val="000000" w:themeColor="text1"/>
          <w:sz w:val="20"/>
          <w:szCs w:val="20"/>
        </w:rPr>
        <w:t xml:space="preserve"> have,</w:t>
      </w:r>
      <w:r w:rsidRPr="006D26BB">
        <w:rPr>
          <w:rFonts w:asciiTheme="minorHAnsi" w:hAnsiTheme="minorHAnsi" w:cstheme="minorHAnsi"/>
          <w:color w:val="000000" w:themeColor="text1"/>
          <w:sz w:val="20"/>
          <w:szCs w:val="20"/>
        </w:rPr>
        <w:t xml:space="preserve"> over the past </w:t>
      </w:r>
      <w:r w:rsidR="00D60F7D">
        <w:rPr>
          <w:rFonts w:asciiTheme="minorHAnsi" w:hAnsiTheme="minorHAnsi" w:cstheme="minorHAnsi"/>
          <w:color w:val="000000" w:themeColor="text1"/>
          <w:sz w:val="20"/>
          <w:szCs w:val="20"/>
        </w:rPr>
        <w:t>five</w:t>
      </w:r>
      <w:r w:rsidRPr="006D26BB">
        <w:rPr>
          <w:rFonts w:asciiTheme="minorHAnsi" w:hAnsiTheme="minorHAnsi" w:cstheme="minorHAnsi"/>
          <w:color w:val="000000" w:themeColor="text1"/>
          <w:sz w:val="20"/>
          <w:szCs w:val="20"/>
        </w:rPr>
        <w:t xml:space="preserve"> years</w:t>
      </w:r>
      <w:r w:rsidR="00FF1C37" w:rsidRPr="006D26BB">
        <w:rPr>
          <w:rFonts w:asciiTheme="minorHAnsi" w:hAnsiTheme="minorHAnsi" w:cstheme="minorHAnsi"/>
          <w:color w:val="000000" w:themeColor="text1"/>
          <w:sz w:val="20"/>
          <w:szCs w:val="20"/>
        </w:rPr>
        <w:t>,</w:t>
      </w:r>
      <w:r w:rsidRPr="006D26BB">
        <w:rPr>
          <w:rFonts w:asciiTheme="minorHAnsi" w:hAnsiTheme="minorHAnsi" w:cstheme="minorHAnsi"/>
          <w:color w:val="000000" w:themeColor="text1"/>
          <w:sz w:val="20"/>
          <w:szCs w:val="20"/>
        </w:rPr>
        <w:t xml:space="preserve"> developed </w:t>
      </w:r>
      <w:r w:rsidR="00DA1750">
        <w:rPr>
          <w:rFonts w:asciiTheme="minorHAnsi" w:hAnsiTheme="minorHAnsi" w:cstheme="minorHAnsi"/>
          <w:color w:val="000000" w:themeColor="text1"/>
          <w:sz w:val="20"/>
          <w:szCs w:val="20"/>
        </w:rPr>
        <w:t>our</w:t>
      </w:r>
      <w:r w:rsidRPr="006D26BB">
        <w:rPr>
          <w:rFonts w:asciiTheme="minorHAnsi" w:hAnsiTheme="minorHAnsi" w:cstheme="minorHAnsi"/>
          <w:color w:val="000000" w:themeColor="text1"/>
          <w:sz w:val="20"/>
          <w:szCs w:val="20"/>
        </w:rPr>
        <w:t xml:space="preserve"> portfolio of </w:t>
      </w:r>
      <w:r w:rsidR="00DA1750">
        <w:rPr>
          <w:rFonts w:asciiTheme="minorHAnsi" w:hAnsiTheme="minorHAnsi" w:cstheme="minorHAnsi"/>
          <w:color w:val="000000" w:themeColor="text1"/>
          <w:sz w:val="20"/>
          <w:szCs w:val="20"/>
        </w:rPr>
        <w:t xml:space="preserve">consumer goods </w:t>
      </w:r>
      <w:r w:rsidRPr="006D26BB">
        <w:rPr>
          <w:rFonts w:asciiTheme="minorHAnsi" w:hAnsiTheme="minorHAnsi" w:cstheme="minorHAnsi"/>
          <w:color w:val="000000" w:themeColor="text1"/>
          <w:sz w:val="20"/>
          <w:szCs w:val="20"/>
        </w:rPr>
        <w:t>brands</w:t>
      </w:r>
      <w:r w:rsidR="00DA1750">
        <w:rPr>
          <w:rFonts w:asciiTheme="minorHAnsi" w:hAnsiTheme="minorHAnsi" w:cstheme="minorHAnsi"/>
          <w:color w:val="000000" w:themeColor="text1"/>
          <w:sz w:val="20"/>
          <w:szCs w:val="20"/>
        </w:rPr>
        <w:t xml:space="preserve"> to become true </w:t>
      </w:r>
      <w:r w:rsidR="00DA1750" w:rsidRPr="005330E9">
        <w:rPr>
          <w:rFonts w:asciiTheme="minorHAnsi" w:hAnsiTheme="minorHAnsi" w:cstheme="minorHAnsi"/>
          <w:color w:val="000000" w:themeColor="text1"/>
          <w:sz w:val="20"/>
          <w:szCs w:val="20"/>
        </w:rPr>
        <w:t>leaders in their respective categories</w:t>
      </w:r>
      <w:r w:rsidR="00A42F69" w:rsidRPr="005330E9">
        <w:rPr>
          <w:rFonts w:asciiTheme="minorHAnsi" w:hAnsiTheme="minorHAnsi" w:cstheme="minorHAnsi"/>
          <w:color w:val="000000" w:themeColor="text1"/>
          <w:sz w:val="20"/>
          <w:szCs w:val="20"/>
        </w:rPr>
        <w:t xml:space="preserve">. </w:t>
      </w:r>
      <w:r w:rsidRPr="005330E9">
        <w:rPr>
          <w:rFonts w:asciiTheme="minorHAnsi" w:hAnsiTheme="minorHAnsi" w:cstheme="minorHAnsi"/>
          <w:color w:val="000000" w:themeColor="text1"/>
          <w:sz w:val="20"/>
          <w:szCs w:val="20"/>
        </w:rPr>
        <w:t xml:space="preserve">We are privileged to own </w:t>
      </w:r>
      <w:r w:rsidR="00A42F69" w:rsidRPr="005330E9">
        <w:rPr>
          <w:rFonts w:asciiTheme="minorHAnsi" w:hAnsiTheme="minorHAnsi" w:cstheme="minorHAnsi"/>
          <w:color w:val="000000" w:themeColor="text1"/>
          <w:sz w:val="20"/>
          <w:szCs w:val="20"/>
        </w:rPr>
        <w:t>Salter</w:t>
      </w:r>
      <w:r w:rsidRPr="005330E9">
        <w:rPr>
          <w:rFonts w:asciiTheme="minorHAnsi" w:hAnsiTheme="minorHAnsi" w:cstheme="minorHAnsi"/>
          <w:color w:val="000000" w:themeColor="text1"/>
          <w:sz w:val="20"/>
          <w:szCs w:val="20"/>
        </w:rPr>
        <w:t xml:space="preserve">, the UK’s oldest housewares brand, established in 1760, and </w:t>
      </w:r>
      <w:proofErr w:type="spellStart"/>
      <w:r w:rsidRPr="005330E9">
        <w:rPr>
          <w:rFonts w:asciiTheme="minorHAnsi" w:hAnsiTheme="minorHAnsi" w:cstheme="minorHAnsi"/>
          <w:color w:val="000000" w:themeColor="text1"/>
          <w:sz w:val="20"/>
          <w:szCs w:val="20"/>
        </w:rPr>
        <w:t>Beldray</w:t>
      </w:r>
      <w:proofErr w:type="spellEnd"/>
      <w:r w:rsidRPr="005330E9">
        <w:rPr>
          <w:rFonts w:asciiTheme="minorHAnsi" w:hAnsiTheme="minorHAnsi" w:cstheme="minorHAnsi"/>
          <w:color w:val="000000" w:themeColor="text1"/>
          <w:sz w:val="20"/>
          <w:szCs w:val="20"/>
        </w:rPr>
        <w:t xml:space="preserve">, established in 1872. </w:t>
      </w:r>
      <w:r w:rsidR="005330E9" w:rsidRPr="005330E9">
        <w:rPr>
          <w:rFonts w:asciiTheme="minorHAnsi" w:hAnsiTheme="minorHAnsi" w:cstheme="minorHAnsi"/>
          <w:color w:val="000000" w:themeColor="text1"/>
          <w:sz w:val="20"/>
          <w:szCs w:val="20"/>
        </w:rPr>
        <w:t>W</w:t>
      </w:r>
      <w:r w:rsidRPr="005330E9">
        <w:rPr>
          <w:rFonts w:asciiTheme="minorHAnsi" w:hAnsiTheme="minorHAnsi" w:cstheme="minorHAnsi"/>
          <w:color w:val="000000" w:themeColor="text1"/>
          <w:sz w:val="20"/>
          <w:szCs w:val="20"/>
        </w:rPr>
        <w:t xml:space="preserve">e have seen the highly successful relaunch of Petra, the German kitchen electrical brand, with sales </w:t>
      </w:r>
      <w:r w:rsidR="00DA1750" w:rsidRPr="005330E9">
        <w:rPr>
          <w:rFonts w:asciiTheme="minorHAnsi" w:hAnsiTheme="minorHAnsi" w:cstheme="minorHAnsi"/>
          <w:color w:val="000000" w:themeColor="text1"/>
          <w:sz w:val="20"/>
          <w:szCs w:val="20"/>
        </w:rPr>
        <w:t>surpassing</w:t>
      </w:r>
      <w:r w:rsidRPr="005330E9">
        <w:rPr>
          <w:rFonts w:asciiTheme="minorHAnsi" w:hAnsiTheme="minorHAnsi" w:cstheme="minorHAnsi"/>
          <w:color w:val="000000" w:themeColor="text1"/>
          <w:sz w:val="20"/>
          <w:szCs w:val="20"/>
        </w:rPr>
        <w:t xml:space="preserve"> £2m during the period. </w:t>
      </w:r>
      <w:r w:rsidR="005330E9" w:rsidRPr="002340A1">
        <w:rPr>
          <w:rFonts w:asciiTheme="minorHAnsi" w:hAnsiTheme="minorHAnsi" w:cstheme="minorHAnsi"/>
          <w:color w:val="000000" w:themeColor="text1"/>
          <w:sz w:val="20"/>
          <w:szCs w:val="20"/>
        </w:rPr>
        <w:t>As demonstrated by the recent successes of</w:t>
      </w:r>
      <w:r w:rsidR="008E6362" w:rsidRPr="005330E9">
        <w:rPr>
          <w:rFonts w:asciiTheme="minorHAnsi" w:hAnsiTheme="minorHAnsi" w:cstheme="minorHAnsi"/>
          <w:color w:val="000000" w:themeColor="text1"/>
          <w:sz w:val="20"/>
          <w:szCs w:val="20"/>
        </w:rPr>
        <w:t xml:space="preserve"> </w:t>
      </w:r>
      <w:proofErr w:type="spellStart"/>
      <w:r w:rsidR="008E6362" w:rsidRPr="005330E9">
        <w:rPr>
          <w:rFonts w:asciiTheme="minorHAnsi" w:hAnsiTheme="minorHAnsi" w:cstheme="minorHAnsi"/>
          <w:color w:val="000000" w:themeColor="text1"/>
          <w:sz w:val="20"/>
          <w:szCs w:val="20"/>
        </w:rPr>
        <w:t>Beldray</w:t>
      </w:r>
      <w:proofErr w:type="spellEnd"/>
      <w:r w:rsidR="008E6362" w:rsidRPr="005330E9">
        <w:rPr>
          <w:rFonts w:asciiTheme="minorHAnsi" w:hAnsiTheme="minorHAnsi" w:cstheme="minorHAnsi"/>
          <w:color w:val="000000" w:themeColor="text1"/>
          <w:sz w:val="20"/>
          <w:szCs w:val="20"/>
        </w:rPr>
        <w:t xml:space="preserve">, Progress and </w:t>
      </w:r>
      <w:proofErr w:type="spellStart"/>
      <w:r w:rsidR="008E6362" w:rsidRPr="005330E9">
        <w:rPr>
          <w:rFonts w:asciiTheme="minorHAnsi" w:hAnsiTheme="minorHAnsi" w:cstheme="minorHAnsi"/>
          <w:color w:val="000000" w:themeColor="text1"/>
          <w:sz w:val="20"/>
          <w:szCs w:val="20"/>
        </w:rPr>
        <w:t>Kleeneze</w:t>
      </w:r>
      <w:proofErr w:type="spellEnd"/>
      <w:r w:rsidR="008E6362" w:rsidRPr="005330E9">
        <w:rPr>
          <w:rFonts w:asciiTheme="minorHAnsi" w:hAnsiTheme="minorHAnsi" w:cstheme="minorHAnsi"/>
          <w:color w:val="000000" w:themeColor="text1"/>
          <w:sz w:val="20"/>
          <w:szCs w:val="20"/>
        </w:rPr>
        <w:t>, we have a tried and tested approach to reinvigorating and growing our heritage</w:t>
      </w:r>
      <w:r w:rsidR="005330E9" w:rsidRPr="002340A1">
        <w:rPr>
          <w:rFonts w:asciiTheme="minorHAnsi" w:hAnsiTheme="minorHAnsi" w:cstheme="minorHAnsi"/>
          <w:color w:val="000000" w:themeColor="text1"/>
          <w:sz w:val="20"/>
          <w:szCs w:val="20"/>
        </w:rPr>
        <w:t xml:space="preserve"> brands</w:t>
      </w:r>
      <w:r w:rsidR="008E6362" w:rsidRPr="005330E9">
        <w:rPr>
          <w:rFonts w:asciiTheme="minorHAnsi" w:hAnsiTheme="minorHAnsi" w:cstheme="minorHAnsi"/>
          <w:color w:val="000000" w:themeColor="text1"/>
          <w:sz w:val="20"/>
          <w:szCs w:val="20"/>
        </w:rPr>
        <w:t>, of which Petra is just the latest</w:t>
      </w:r>
      <w:r w:rsidR="005330E9">
        <w:rPr>
          <w:rFonts w:asciiTheme="minorHAnsi" w:hAnsiTheme="minorHAnsi" w:cstheme="minorHAnsi"/>
          <w:color w:val="000000" w:themeColor="text1"/>
          <w:sz w:val="20"/>
          <w:szCs w:val="20"/>
        </w:rPr>
        <w:t>, and most international,</w:t>
      </w:r>
      <w:r w:rsidR="008E6362" w:rsidRPr="005330E9">
        <w:rPr>
          <w:rFonts w:asciiTheme="minorHAnsi" w:hAnsiTheme="minorHAnsi" w:cstheme="minorHAnsi"/>
          <w:color w:val="000000" w:themeColor="text1"/>
          <w:sz w:val="20"/>
          <w:szCs w:val="20"/>
        </w:rPr>
        <w:t xml:space="preserve"> example. </w:t>
      </w:r>
    </w:p>
    <w:p w14:paraId="53E544F1" w14:textId="77777777" w:rsidR="008E6362" w:rsidRPr="002340A1" w:rsidRDefault="008E6362" w:rsidP="00243A3F">
      <w:pPr>
        <w:spacing w:after="0" w:line="240" w:lineRule="auto"/>
        <w:jc w:val="both"/>
        <w:rPr>
          <w:rFonts w:asciiTheme="minorHAnsi" w:hAnsiTheme="minorHAnsi" w:cstheme="minorHAnsi"/>
          <w:color w:val="000000" w:themeColor="text1"/>
          <w:sz w:val="20"/>
          <w:szCs w:val="20"/>
          <w:highlight w:val="yellow"/>
        </w:rPr>
      </w:pPr>
    </w:p>
    <w:p w14:paraId="45A8A81B" w14:textId="690B3F7A" w:rsidR="00243A3F" w:rsidRPr="006D26BB" w:rsidRDefault="00243A3F" w:rsidP="00243A3F">
      <w:pPr>
        <w:spacing w:after="0" w:line="240" w:lineRule="auto"/>
        <w:jc w:val="both"/>
        <w:rPr>
          <w:rFonts w:asciiTheme="minorHAnsi" w:hAnsiTheme="minorHAnsi" w:cstheme="minorHAnsi"/>
          <w:bCs/>
          <w:color w:val="000000" w:themeColor="text1"/>
          <w:sz w:val="20"/>
          <w:szCs w:val="20"/>
          <w:lang w:val="en-US"/>
        </w:rPr>
      </w:pPr>
      <w:r w:rsidRPr="006D26BB">
        <w:rPr>
          <w:rFonts w:asciiTheme="minorHAnsi" w:hAnsiTheme="minorHAnsi" w:cstheme="minorHAnsi"/>
          <w:bCs/>
          <w:color w:val="000000" w:themeColor="text1"/>
          <w:sz w:val="20"/>
          <w:szCs w:val="20"/>
          <w:lang w:val="en-US"/>
        </w:rPr>
        <w:t xml:space="preserve">In addition, </w:t>
      </w:r>
      <w:r w:rsidR="008E6362">
        <w:rPr>
          <w:rFonts w:asciiTheme="minorHAnsi" w:hAnsiTheme="minorHAnsi" w:cstheme="minorHAnsi"/>
          <w:bCs/>
          <w:color w:val="000000" w:themeColor="text1"/>
          <w:sz w:val="20"/>
          <w:szCs w:val="20"/>
          <w:lang w:val="en-US"/>
        </w:rPr>
        <w:t>we</w:t>
      </w:r>
      <w:r w:rsidR="005330E9">
        <w:rPr>
          <w:rFonts w:asciiTheme="minorHAnsi" w:hAnsiTheme="minorHAnsi" w:cstheme="minorHAnsi"/>
          <w:bCs/>
          <w:color w:val="000000" w:themeColor="text1"/>
          <w:sz w:val="20"/>
          <w:szCs w:val="20"/>
          <w:lang w:val="en-US"/>
        </w:rPr>
        <w:t xml:space="preserve"> have</w:t>
      </w:r>
      <w:r w:rsidRPr="006D26BB">
        <w:rPr>
          <w:rFonts w:asciiTheme="minorHAnsi" w:hAnsiTheme="minorHAnsi" w:cstheme="minorHAnsi"/>
          <w:bCs/>
          <w:color w:val="000000" w:themeColor="text1"/>
          <w:sz w:val="20"/>
          <w:szCs w:val="20"/>
          <w:lang w:val="en-US"/>
        </w:rPr>
        <w:t xml:space="preserve"> r</w:t>
      </w:r>
      <w:proofErr w:type="spellStart"/>
      <w:r w:rsidRPr="006D26BB">
        <w:rPr>
          <w:rFonts w:asciiTheme="minorHAnsi" w:hAnsiTheme="minorHAnsi" w:cstheme="minorHAnsi"/>
          <w:color w:val="000000"/>
          <w:sz w:val="20"/>
          <w:szCs w:val="20"/>
        </w:rPr>
        <w:t>enewed</w:t>
      </w:r>
      <w:proofErr w:type="spellEnd"/>
      <w:r w:rsidRPr="006D26BB">
        <w:rPr>
          <w:rFonts w:asciiTheme="minorHAnsi" w:hAnsiTheme="minorHAnsi" w:cstheme="minorHAnsi"/>
          <w:color w:val="000000"/>
          <w:sz w:val="20"/>
          <w:szCs w:val="20"/>
        </w:rPr>
        <w:t xml:space="preserve"> </w:t>
      </w:r>
      <w:r w:rsidR="008E6362">
        <w:rPr>
          <w:rFonts w:asciiTheme="minorHAnsi" w:hAnsiTheme="minorHAnsi" w:cstheme="minorHAnsi"/>
          <w:color w:val="000000"/>
          <w:sz w:val="20"/>
          <w:szCs w:val="20"/>
        </w:rPr>
        <w:t>our</w:t>
      </w:r>
      <w:r w:rsidR="008E6362" w:rsidRPr="006D26BB">
        <w:rPr>
          <w:rFonts w:asciiTheme="minorHAnsi" w:hAnsiTheme="minorHAnsi" w:cstheme="minorHAnsi"/>
          <w:color w:val="000000"/>
          <w:sz w:val="20"/>
          <w:szCs w:val="20"/>
        </w:rPr>
        <w:t xml:space="preserve"> </w:t>
      </w:r>
      <w:r w:rsidRPr="006D26BB">
        <w:rPr>
          <w:rFonts w:asciiTheme="minorHAnsi" w:hAnsiTheme="minorHAnsi" w:cstheme="minorHAnsi"/>
          <w:color w:val="000000"/>
          <w:sz w:val="20"/>
          <w:szCs w:val="20"/>
        </w:rPr>
        <w:t xml:space="preserve">trademark licence agreement with Spectrum Brands, which grants </w:t>
      </w:r>
      <w:r w:rsidR="008E6362">
        <w:rPr>
          <w:rFonts w:asciiTheme="minorHAnsi" w:hAnsiTheme="minorHAnsi" w:cstheme="minorHAnsi"/>
          <w:color w:val="000000"/>
          <w:sz w:val="20"/>
          <w:szCs w:val="20"/>
        </w:rPr>
        <w:t>us</w:t>
      </w:r>
      <w:r w:rsidRPr="006D26BB">
        <w:rPr>
          <w:rFonts w:asciiTheme="minorHAnsi" w:hAnsiTheme="minorHAnsi" w:cstheme="minorHAnsi"/>
          <w:color w:val="000000"/>
          <w:sz w:val="20"/>
          <w:szCs w:val="20"/>
        </w:rPr>
        <w:t xml:space="preserve"> an exclusive licence </w:t>
      </w:r>
      <w:r w:rsidRPr="006D26BB">
        <w:rPr>
          <w:rStyle w:val="bn"/>
          <w:rFonts w:asciiTheme="minorHAnsi" w:hAnsiTheme="minorHAnsi" w:cstheme="minorHAnsi"/>
          <w:color w:val="000000"/>
          <w:sz w:val="20"/>
          <w:szCs w:val="20"/>
        </w:rPr>
        <w:t>to use the "Russell Hobbs" trademark in the United Kingdom, Europe, Australia and New Zealand</w:t>
      </w:r>
      <w:r w:rsidRPr="006D26BB">
        <w:rPr>
          <w:rFonts w:asciiTheme="minorHAnsi" w:hAnsiTheme="minorHAnsi" w:cstheme="minorHAnsi"/>
          <w:color w:val="000000"/>
          <w:sz w:val="20"/>
          <w:szCs w:val="20"/>
        </w:rPr>
        <w:t> for non-electrical kitchen and laundry products</w:t>
      </w:r>
      <w:r w:rsidRPr="006D26BB">
        <w:rPr>
          <w:rStyle w:val="bn"/>
          <w:rFonts w:asciiTheme="minorHAnsi" w:hAnsiTheme="minorHAnsi" w:cstheme="minorHAnsi"/>
          <w:color w:val="000000"/>
          <w:sz w:val="20"/>
          <w:szCs w:val="20"/>
        </w:rPr>
        <w:t>.</w:t>
      </w:r>
      <w:r w:rsidRPr="006D26BB">
        <w:rPr>
          <w:rFonts w:asciiTheme="minorHAnsi" w:hAnsiTheme="minorHAnsi" w:cstheme="minorHAnsi"/>
          <w:color w:val="000000"/>
          <w:sz w:val="20"/>
          <w:szCs w:val="20"/>
        </w:rPr>
        <w:t> </w:t>
      </w:r>
      <w:r w:rsidRPr="006D26BB">
        <w:rPr>
          <w:rStyle w:val="bn"/>
          <w:rFonts w:asciiTheme="minorHAnsi" w:hAnsiTheme="minorHAnsi" w:cstheme="minorHAnsi"/>
          <w:color w:val="000000"/>
          <w:sz w:val="20"/>
          <w:szCs w:val="20"/>
        </w:rPr>
        <w:t>The new agreement is on a rolling four-year basis, rather than the previous fixed-term arrangement</w:t>
      </w:r>
      <w:r w:rsidR="008E6362">
        <w:rPr>
          <w:rStyle w:val="bn"/>
          <w:rFonts w:asciiTheme="minorHAnsi" w:hAnsiTheme="minorHAnsi" w:cstheme="minorHAnsi"/>
          <w:color w:val="000000"/>
          <w:sz w:val="20"/>
          <w:szCs w:val="20"/>
        </w:rPr>
        <w:t>, which was</w:t>
      </w:r>
      <w:r w:rsidRPr="006D26BB">
        <w:rPr>
          <w:rStyle w:val="bn"/>
          <w:rFonts w:asciiTheme="minorHAnsi" w:hAnsiTheme="minorHAnsi" w:cstheme="minorHAnsi"/>
          <w:color w:val="000000"/>
          <w:sz w:val="20"/>
          <w:szCs w:val="20"/>
        </w:rPr>
        <w:t xml:space="preserve"> due to end in March 2023. This </w:t>
      </w:r>
      <w:r w:rsidR="008E6362">
        <w:rPr>
          <w:rStyle w:val="bn"/>
          <w:rFonts w:asciiTheme="minorHAnsi" w:hAnsiTheme="minorHAnsi" w:cstheme="minorHAnsi"/>
          <w:color w:val="000000"/>
          <w:sz w:val="20"/>
          <w:szCs w:val="20"/>
        </w:rPr>
        <w:t xml:space="preserve">change </w:t>
      </w:r>
      <w:r w:rsidRPr="006D26BB">
        <w:rPr>
          <w:rStyle w:val="bn"/>
          <w:rFonts w:asciiTheme="minorHAnsi" w:hAnsiTheme="minorHAnsi" w:cstheme="minorHAnsi"/>
          <w:color w:val="000000"/>
          <w:sz w:val="20"/>
          <w:szCs w:val="20"/>
        </w:rPr>
        <w:t>significantly reduces the licencing risk, as the licence will always have four years to run, rather than having a fixed end date.</w:t>
      </w:r>
      <w:r w:rsidRPr="006D26BB">
        <w:rPr>
          <w:rFonts w:asciiTheme="minorHAnsi" w:hAnsiTheme="minorHAnsi" w:cstheme="minorHAnsi"/>
          <w:i/>
          <w:iCs/>
          <w:color w:val="000000"/>
          <w:sz w:val="20"/>
          <w:szCs w:val="20"/>
        </w:rPr>
        <w:t> </w:t>
      </w:r>
      <w:r w:rsidR="008E6362" w:rsidRPr="008E6362">
        <w:rPr>
          <w:rFonts w:asciiTheme="minorHAnsi" w:hAnsiTheme="minorHAnsi" w:cstheme="minorHAnsi"/>
          <w:color w:val="000000"/>
          <w:sz w:val="20"/>
          <w:szCs w:val="20"/>
        </w:rPr>
        <w:t xml:space="preserve">It also </w:t>
      </w:r>
      <w:r w:rsidR="008E6362" w:rsidRPr="002340A1">
        <w:rPr>
          <w:rFonts w:asciiTheme="minorHAnsi" w:hAnsiTheme="minorHAnsi" w:cstheme="minorHAnsi"/>
          <w:color w:val="000000"/>
          <w:sz w:val="20"/>
          <w:szCs w:val="20"/>
        </w:rPr>
        <w:t xml:space="preserve">allows us to </w:t>
      </w:r>
      <w:r w:rsidR="00E26A8B">
        <w:rPr>
          <w:rFonts w:asciiTheme="minorHAnsi" w:hAnsiTheme="minorHAnsi" w:cstheme="minorHAnsi"/>
          <w:color w:val="000000"/>
          <w:sz w:val="20"/>
          <w:szCs w:val="20"/>
        </w:rPr>
        <w:t xml:space="preserve">better </w:t>
      </w:r>
      <w:r w:rsidR="008E6362" w:rsidRPr="002340A1">
        <w:rPr>
          <w:rFonts w:asciiTheme="minorHAnsi" w:hAnsiTheme="minorHAnsi" w:cstheme="minorHAnsi"/>
          <w:color w:val="000000"/>
          <w:sz w:val="20"/>
          <w:szCs w:val="20"/>
        </w:rPr>
        <w:t xml:space="preserve">focus on the long-term growth of the </w:t>
      </w:r>
      <w:r w:rsidR="008E6362">
        <w:rPr>
          <w:rFonts w:asciiTheme="minorHAnsi" w:hAnsiTheme="minorHAnsi" w:cstheme="minorHAnsi"/>
          <w:color w:val="000000"/>
          <w:sz w:val="20"/>
          <w:szCs w:val="20"/>
        </w:rPr>
        <w:t>Russel</w:t>
      </w:r>
      <w:r w:rsidR="009E7467">
        <w:rPr>
          <w:rFonts w:asciiTheme="minorHAnsi" w:hAnsiTheme="minorHAnsi" w:cstheme="minorHAnsi"/>
          <w:color w:val="000000"/>
          <w:sz w:val="20"/>
          <w:szCs w:val="20"/>
        </w:rPr>
        <w:t>l</w:t>
      </w:r>
      <w:r w:rsidR="008E6362">
        <w:rPr>
          <w:rFonts w:asciiTheme="minorHAnsi" w:hAnsiTheme="minorHAnsi" w:cstheme="minorHAnsi"/>
          <w:color w:val="000000"/>
          <w:sz w:val="20"/>
          <w:szCs w:val="20"/>
        </w:rPr>
        <w:t xml:space="preserve"> Hobbs </w:t>
      </w:r>
      <w:r w:rsidR="008E6362" w:rsidRPr="002340A1">
        <w:rPr>
          <w:rFonts w:asciiTheme="minorHAnsi" w:hAnsiTheme="minorHAnsi" w:cstheme="minorHAnsi"/>
          <w:color w:val="000000"/>
          <w:sz w:val="20"/>
          <w:szCs w:val="20"/>
        </w:rPr>
        <w:t>brand, which will increase the benefits of the partnership for both Spectrum Brands and Ultimate Products</w:t>
      </w:r>
      <w:r w:rsidR="008E6362">
        <w:rPr>
          <w:rFonts w:asciiTheme="minorHAnsi" w:hAnsiTheme="minorHAnsi" w:cstheme="minorHAnsi"/>
          <w:color w:val="000000"/>
          <w:sz w:val="20"/>
          <w:szCs w:val="20"/>
        </w:rPr>
        <w:t>.</w:t>
      </w:r>
    </w:p>
    <w:p w14:paraId="7245FF2E" w14:textId="77777777" w:rsidR="00243A3F" w:rsidRPr="006D26BB" w:rsidRDefault="00243A3F" w:rsidP="00243A3F">
      <w:pPr>
        <w:spacing w:after="0" w:line="240" w:lineRule="auto"/>
        <w:jc w:val="both"/>
        <w:rPr>
          <w:rFonts w:asciiTheme="minorHAnsi" w:hAnsiTheme="minorHAnsi" w:cstheme="minorHAnsi"/>
          <w:color w:val="000000" w:themeColor="text1"/>
          <w:sz w:val="20"/>
          <w:szCs w:val="20"/>
        </w:rPr>
      </w:pPr>
    </w:p>
    <w:p w14:paraId="025B6CB8" w14:textId="7201AB2A" w:rsidR="00243A3F" w:rsidRPr="006D26BB" w:rsidRDefault="00243A3F" w:rsidP="00243A3F">
      <w:pPr>
        <w:spacing w:after="0" w:line="240" w:lineRule="auto"/>
        <w:jc w:val="both"/>
        <w:rPr>
          <w:rFonts w:asciiTheme="minorHAnsi" w:hAnsiTheme="minorHAnsi" w:cstheme="minorHAnsi"/>
          <w:color w:val="000000"/>
          <w:sz w:val="20"/>
          <w:szCs w:val="20"/>
        </w:rPr>
      </w:pPr>
      <w:r w:rsidRPr="006D26BB">
        <w:rPr>
          <w:rFonts w:asciiTheme="minorHAnsi" w:hAnsiTheme="minorHAnsi" w:cstheme="minorHAnsi"/>
          <w:color w:val="000000" w:themeColor="text1"/>
          <w:sz w:val="20"/>
          <w:szCs w:val="20"/>
        </w:rPr>
        <w:t xml:space="preserve">Finally, </w:t>
      </w:r>
      <w:r w:rsidR="008E6362">
        <w:rPr>
          <w:rFonts w:asciiTheme="minorHAnsi" w:hAnsiTheme="minorHAnsi" w:cstheme="minorHAnsi"/>
          <w:color w:val="000000" w:themeColor="text1"/>
          <w:sz w:val="20"/>
          <w:szCs w:val="20"/>
        </w:rPr>
        <w:t>we were delighted to</w:t>
      </w:r>
      <w:r w:rsidRPr="006D26BB">
        <w:rPr>
          <w:rFonts w:asciiTheme="minorHAnsi" w:hAnsiTheme="minorHAnsi" w:cstheme="minorHAnsi"/>
          <w:color w:val="000000"/>
          <w:sz w:val="20"/>
          <w:szCs w:val="20"/>
        </w:rPr>
        <w:t xml:space="preserve"> appoint Tracy Carroll </w:t>
      </w:r>
      <w:r w:rsidR="007C09E7">
        <w:rPr>
          <w:rFonts w:asciiTheme="minorHAnsi" w:hAnsiTheme="minorHAnsi" w:cstheme="minorHAnsi"/>
          <w:color w:val="000000"/>
          <w:sz w:val="20"/>
          <w:szCs w:val="20"/>
        </w:rPr>
        <w:t>to the newly created role of</w:t>
      </w:r>
      <w:r w:rsidRPr="006D26BB">
        <w:rPr>
          <w:rFonts w:asciiTheme="minorHAnsi" w:hAnsiTheme="minorHAnsi" w:cstheme="minorHAnsi"/>
          <w:color w:val="000000"/>
          <w:sz w:val="20"/>
          <w:szCs w:val="20"/>
        </w:rPr>
        <w:t xml:space="preserve"> Brand Director. </w:t>
      </w:r>
      <w:r w:rsidR="00E26A8B" w:rsidRPr="00E26A8B">
        <w:rPr>
          <w:rFonts w:asciiTheme="minorHAnsi" w:hAnsiTheme="minorHAnsi" w:cstheme="minorHAnsi"/>
          <w:color w:val="000000"/>
          <w:sz w:val="20"/>
          <w:szCs w:val="20"/>
        </w:rPr>
        <w:t xml:space="preserve">Tracy </w:t>
      </w:r>
      <w:r w:rsidR="001F57C6" w:rsidRPr="00E26A8B">
        <w:rPr>
          <w:rFonts w:asciiTheme="minorHAnsi" w:hAnsiTheme="minorHAnsi" w:cstheme="minorHAnsi"/>
          <w:color w:val="000000"/>
          <w:sz w:val="20"/>
          <w:szCs w:val="20"/>
        </w:rPr>
        <w:t>join</w:t>
      </w:r>
      <w:r w:rsidR="001F57C6">
        <w:rPr>
          <w:rFonts w:asciiTheme="minorHAnsi" w:hAnsiTheme="minorHAnsi" w:cstheme="minorHAnsi"/>
          <w:color w:val="000000"/>
          <w:sz w:val="20"/>
          <w:szCs w:val="20"/>
        </w:rPr>
        <w:t xml:space="preserve">ed </w:t>
      </w:r>
      <w:r w:rsidR="001F57C6" w:rsidRPr="00E26A8B">
        <w:rPr>
          <w:rFonts w:asciiTheme="minorHAnsi" w:hAnsiTheme="minorHAnsi" w:cstheme="minorHAnsi"/>
          <w:color w:val="000000"/>
          <w:sz w:val="20"/>
          <w:szCs w:val="20"/>
        </w:rPr>
        <w:t>from</w:t>
      </w:r>
      <w:r w:rsidR="00E26A8B" w:rsidRPr="00E26A8B">
        <w:rPr>
          <w:rFonts w:asciiTheme="minorHAnsi" w:hAnsiTheme="minorHAnsi" w:cstheme="minorHAnsi"/>
          <w:color w:val="000000"/>
          <w:sz w:val="20"/>
          <w:szCs w:val="20"/>
        </w:rPr>
        <w:t xml:space="preserve"> Helen of Troy, an American designer and marketer of consumer brands, where she served as Associate Marketing Director</w:t>
      </w:r>
      <w:r w:rsidR="00E26A8B">
        <w:rPr>
          <w:rFonts w:asciiTheme="minorHAnsi" w:hAnsiTheme="minorHAnsi" w:cstheme="minorHAnsi"/>
          <w:color w:val="000000"/>
          <w:sz w:val="20"/>
          <w:szCs w:val="20"/>
        </w:rPr>
        <w:t>, and was responsible for</w:t>
      </w:r>
      <w:r w:rsidR="00E26A8B" w:rsidRPr="00E26A8B">
        <w:rPr>
          <w:rFonts w:asciiTheme="minorHAnsi" w:hAnsiTheme="minorHAnsi" w:cstheme="minorHAnsi"/>
          <w:color w:val="000000"/>
          <w:sz w:val="20"/>
          <w:szCs w:val="20"/>
        </w:rPr>
        <w:t xml:space="preserve"> launch</w:t>
      </w:r>
      <w:r w:rsidR="00E26A8B">
        <w:rPr>
          <w:rFonts w:asciiTheme="minorHAnsi" w:hAnsiTheme="minorHAnsi" w:cstheme="minorHAnsi"/>
          <w:color w:val="000000"/>
          <w:sz w:val="20"/>
          <w:szCs w:val="20"/>
        </w:rPr>
        <w:t>ing</w:t>
      </w:r>
      <w:r w:rsidR="00E26A8B" w:rsidRPr="00E26A8B">
        <w:rPr>
          <w:rFonts w:asciiTheme="minorHAnsi" w:hAnsiTheme="minorHAnsi" w:cstheme="minorHAnsi"/>
          <w:color w:val="000000"/>
          <w:sz w:val="20"/>
          <w:szCs w:val="20"/>
        </w:rPr>
        <w:t xml:space="preserve"> and grow</w:t>
      </w:r>
      <w:r w:rsidR="00E26A8B">
        <w:rPr>
          <w:rFonts w:asciiTheme="minorHAnsi" w:hAnsiTheme="minorHAnsi" w:cstheme="minorHAnsi"/>
          <w:color w:val="000000"/>
          <w:sz w:val="20"/>
          <w:szCs w:val="20"/>
        </w:rPr>
        <w:t>ing</w:t>
      </w:r>
      <w:r w:rsidR="00E26A8B" w:rsidRPr="00E26A8B">
        <w:rPr>
          <w:rFonts w:asciiTheme="minorHAnsi" w:hAnsiTheme="minorHAnsi" w:cstheme="minorHAnsi"/>
          <w:color w:val="000000"/>
          <w:sz w:val="20"/>
          <w:szCs w:val="20"/>
        </w:rPr>
        <w:t xml:space="preserve"> the OXO homeware brand in the UK.</w:t>
      </w:r>
      <w:r w:rsidR="00E26A8B">
        <w:rPr>
          <w:rFonts w:asciiTheme="minorHAnsi" w:hAnsiTheme="minorHAnsi" w:cstheme="minorHAnsi"/>
          <w:color w:val="000000"/>
          <w:sz w:val="20"/>
          <w:szCs w:val="20"/>
        </w:rPr>
        <w:t xml:space="preserve"> </w:t>
      </w:r>
      <w:r w:rsidRPr="006D26BB">
        <w:rPr>
          <w:rFonts w:asciiTheme="minorHAnsi" w:hAnsiTheme="minorHAnsi" w:cstheme="minorHAnsi"/>
          <w:color w:val="000000"/>
          <w:sz w:val="20"/>
          <w:szCs w:val="20"/>
        </w:rPr>
        <w:t xml:space="preserve">This appointment will help </w:t>
      </w:r>
      <w:r w:rsidR="007C09E7">
        <w:rPr>
          <w:rFonts w:asciiTheme="minorHAnsi" w:hAnsiTheme="minorHAnsi" w:cstheme="minorHAnsi"/>
          <w:color w:val="000000"/>
          <w:sz w:val="20"/>
          <w:szCs w:val="20"/>
        </w:rPr>
        <w:t>us</w:t>
      </w:r>
      <w:r w:rsidRPr="006D26BB">
        <w:rPr>
          <w:rFonts w:asciiTheme="minorHAnsi" w:hAnsiTheme="minorHAnsi" w:cstheme="minorHAnsi"/>
          <w:color w:val="000000"/>
          <w:sz w:val="20"/>
          <w:szCs w:val="20"/>
        </w:rPr>
        <w:t xml:space="preserve"> refine and focus the development of </w:t>
      </w:r>
      <w:r w:rsidR="007C09E7">
        <w:rPr>
          <w:rFonts w:asciiTheme="minorHAnsi" w:hAnsiTheme="minorHAnsi" w:cstheme="minorHAnsi"/>
          <w:color w:val="000000"/>
          <w:sz w:val="20"/>
          <w:szCs w:val="20"/>
        </w:rPr>
        <w:t xml:space="preserve">our </w:t>
      </w:r>
      <w:r w:rsidRPr="006D26BB">
        <w:rPr>
          <w:rFonts w:asciiTheme="minorHAnsi" w:hAnsiTheme="minorHAnsi" w:cstheme="minorHAnsi"/>
          <w:color w:val="000000"/>
          <w:sz w:val="20"/>
          <w:szCs w:val="20"/>
        </w:rPr>
        <w:t xml:space="preserve">portfolio of brands, and her previous experience </w:t>
      </w:r>
      <w:r w:rsidR="00A42F69">
        <w:rPr>
          <w:rFonts w:asciiTheme="minorHAnsi" w:hAnsiTheme="minorHAnsi" w:cstheme="minorHAnsi"/>
          <w:color w:val="000000"/>
          <w:sz w:val="20"/>
          <w:szCs w:val="20"/>
        </w:rPr>
        <w:t xml:space="preserve">is </w:t>
      </w:r>
      <w:r w:rsidR="00E26A8B">
        <w:rPr>
          <w:rFonts w:asciiTheme="minorHAnsi" w:hAnsiTheme="minorHAnsi" w:cstheme="minorHAnsi"/>
          <w:color w:val="000000"/>
          <w:sz w:val="20"/>
          <w:szCs w:val="20"/>
        </w:rPr>
        <w:t xml:space="preserve">already </w:t>
      </w:r>
      <w:r w:rsidR="00A42F69">
        <w:rPr>
          <w:rFonts w:asciiTheme="minorHAnsi" w:hAnsiTheme="minorHAnsi" w:cstheme="minorHAnsi"/>
          <w:color w:val="000000"/>
          <w:sz w:val="20"/>
          <w:szCs w:val="20"/>
        </w:rPr>
        <w:t>proving</w:t>
      </w:r>
      <w:r w:rsidRPr="006D26BB">
        <w:rPr>
          <w:rFonts w:asciiTheme="minorHAnsi" w:hAnsiTheme="minorHAnsi" w:cstheme="minorHAnsi"/>
          <w:color w:val="000000"/>
          <w:sz w:val="20"/>
          <w:szCs w:val="20"/>
        </w:rPr>
        <w:t xml:space="preserve"> invaluable as we expand our outstanding stable of homeware brands across new geographies and channels. </w:t>
      </w:r>
    </w:p>
    <w:p w14:paraId="08667CA1" w14:textId="77777777" w:rsidR="00243A3F" w:rsidRPr="006D26BB" w:rsidRDefault="00243A3F" w:rsidP="00243A3F">
      <w:pPr>
        <w:spacing w:after="0" w:line="240" w:lineRule="auto"/>
        <w:jc w:val="both"/>
        <w:rPr>
          <w:rFonts w:asciiTheme="minorHAnsi" w:hAnsiTheme="minorHAnsi" w:cstheme="minorHAnsi"/>
          <w:color w:val="000000"/>
          <w:sz w:val="20"/>
          <w:szCs w:val="20"/>
        </w:rPr>
      </w:pPr>
    </w:p>
    <w:p w14:paraId="2582081E" w14:textId="7F297FA7" w:rsidR="00CE6E39" w:rsidRPr="006D26BB" w:rsidRDefault="00243A3F" w:rsidP="00CE6E39">
      <w:pPr>
        <w:spacing w:after="0" w:line="240" w:lineRule="auto"/>
        <w:jc w:val="both"/>
        <w:rPr>
          <w:rFonts w:asciiTheme="minorHAnsi" w:hAnsiTheme="minorHAnsi" w:cstheme="minorHAnsi"/>
          <w:color w:val="000000"/>
          <w:sz w:val="20"/>
          <w:szCs w:val="20"/>
        </w:rPr>
      </w:pPr>
      <w:r w:rsidRPr="006D26BB">
        <w:rPr>
          <w:rFonts w:asciiTheme="minorHAnsi" w:hAnsiTheme="minorHAnsi" w:cstheme="minorHAnsi"/>
          <w:color w:val="000000"/>
          <w:sz w:val="20"/>
          <w:szCs w:val="20"/>
        </w:rPr>
        <w:t xml:space="preserve">The brand journey that we have been on has seen us pivot from a licence holder to a brand </w:t>
      </w:r>
      <w:r w:rsidR="001F57C6" w:rsidRPr="006D26BB">
        <w:rPr>
          <w:rFonts w:asciiTheme="minorHAnsi" w:hAnsiTheme="minorHAnsi" w:cstheme="minorHAnsi"/>
          <w:color w:val="000000"/>
          <w:sz w:val="20"/>
          <w:szCs w:val="20"/>
        </w:rPr>
        <w:t>owner</w:t>
      </w:r>
      <w:r w:rsidR="009E7467">
        <w:rPr>
          <w:rFonts w:asciiTheme="minorHAnsi" w:hAnsiTheme="minorHAnsi" w:cstheme="minorHAnsi"/>
          <w:color w:val="000000"/>
          <w:sz w:val="20"/>
          <w:szCs w:val="20"/>
        </w:rPr>
        <w:t xml:space="preserve">, </w:t>
      </w:r>
      <w:r w:rsidR="001F57C6" w:rsidRPr="006D26BB">
        <w:rPr>
          <w:rFonts w:asciiTheme="minorHAnsi" w:hAnsiTheme="minorHAnsi" w:cstheme="minorHAnsi"/>
          <w:color w:val="000000"/>
          <w:sz w:val="20"/>
          <w:szCs w:val="20"/>
        </w:rPr>
        <w:t>and</w:t>
      </w:r>
      <w:r w:rsidR="009E7467">
        <w:rPr>
          <w:rFonts w:asciiTheme="minorHAnsi" w:hAnsiTheme="minorHAnsi" w:cstheme="minorHAnsi"/>
          <w:color w:val="000000"/>
          <w:sz w:val="20"/>
          <w:szCs w:val="20"/>
        </w:rPr>
        <w:t xml:space="preserve"> this</w:t>
      </w:r>
      <w:r w:rsidRPr="006D26BB">
        <w:rPr>
          <w:rFonts w:asciiTheme="minorHAnsi" w:hAnsiTheme="minorHAnsi" w:cstheme="minorHAnsi"/>
          <w:color w:val="000000"/>
          <w:sz w:val="20"/>
          <w:szCs w:val="20"/>
        </w:rPr>
        <w:t xml:space="preserve"> gives the business a resilient core from which we can expand and grow.</w:t>
      </w:r>
      <w:r w:rsidR="00CE6E39">
        <w:rPr>
          <w:rFonts w:asciiTheme="minorHAnsi" w:hAnsiTheme="minorHAnsi" w:cstheme="minorHAnsi"/>
          <w:color w:val="000000"/>
          <w:sz w:val="20"/>
          <w:szCs w:val="20"/>
        </w:rPr>
        <w:t xml:space="preserve"> Combined with our renewed focus</w:t>
      </w:r>
      <w:r w:rsidR="00CE6E39" w:rsidRPr="006D26BB">
        <w:rPr>
          <w:rFonts w:asciiTheme="minorHAnsi" w:hAnsiTheme="minorHAnsi" w:cstheme="minorHAnsi"/>
          <w:color w:val="000000"/>
          <w:sz w:val="20"/>
          <w:szCs w:val="20"/>
        </w:rPr>
        <w:t xml:space="preserve"> </w:t>
      </w:r>
      <w:r w:rsidR="00CE6E39">
        <w:rPr>
          <w:rFonts w:asciiTheme="minorHAnsi" w:hAnsiTheme="minorHAnsi" w:cstheme="minorHAnsi"/>
          <w:color w:val="000000"/>
          <w:sz w:val="20"/>
          <w:szCs w:val="20"/>
        </w:rPr>
        <w:t>on</w:t>
      </w:r>
      <w:r w:rsidR="00CE6E39" w:rsidRPr="006D26BB">
        <w:rPr>
          <w:rFonts w:asciiTheme="minorHAnsi" w:hAnsiTheme="minorHAnsi" w:cstheme="minorHAnsi"/>
          <w:color w:val="000000"/>
          <w:sz w:val="20"/>
          <w:szCs w:val="20"/>
        </w:rPr>
        <w:t xml:space="preserve"> marketing</w:t>
      </w:r>
      <w:r w:rsidR="00CE6E39">
        <w:rPr>
          <w:rFonts w:asciiTheme="minorHAnsi" w:hAnsiTheme="minorHAnsi" w:cstheme="minorHAnsi"/>
          <w:color w:val="000000"/>
          <w:sz w:val="20"/>
          <w:szCs w:val="20"/>
        </w:rPr>
        <w:t xml:space="preserve">, we will now be able </w:t>
      </w:r>
      <w:r w:rsidR="00CE6E39" w:rsidRPr="006D26BB">
        <w:rPr>
          <w:rFonts w:asciiTheme="minorHAnsi" w:hAnsiTheme="minorHAnsi" w:cstheme="minorHAnsi"/>
          <w:color w:val="000000"/>
          <w:sz w:val="20"/>
          <w:szCs w:val="20"/>
        </w:rPr>
        <w:t xml:space="preserve">to fully realise the sales potential of all </w:t>
      </w:r>
      <w:r w:rsidR="00CE6E39">
        <w:rPr>
          <w:rFonts w:asciiTheme="minorHAnsi" w:hAnsiTheme="minorHAnsi" w:cstheme="minorHAnsi"/>
          <w:color w:val="000000"/>
          <w:sz w:val="20"/>
          <w:szCs w:val="20"/>
        </w:rPr>
        <w:t xml:space="preserve">of </w:t>
      </w:r>
      <w:r w:rsidR="00CE6E39" w:rsidRPr="006D26BB">
        <w:rPr>
          <w:rFonts w:asciiTheme="minorHAnsi" w:hAnsiTheme="minorHAnsi" w:cstheme="minorHAnsi"/>
          <w:color w:val="000000"/>
          <w:sz w:val="20"/>
          <w:szCs w:val="20"/>
        </w:rPr>
        <w:t xml:space="preserve">our brands in line with our purpose </w:t>
      </w:r>
      <w:r w:rsidR="00CE6E39">
        <w:rPr>
          <w:rFonts w:asciiTheme="minorHAnsi" w:hAnsiTheme="minorHAnsi" w:cstheme="minorHAnsi"/>
          <w:color w:val="000000"/>
          <w:sz w:val="20"/>
          <w:szCs w:val="20"/>
        </w:rPr>
        <w:t>of</w:t>
      </w:r>
      <w:r w:rsidR="00CE6E39" w:rsidRPr="006D26BB">
        <w:rPr>
          <w:rFonts w:asciiTheme="minorHAnsi" w:hAnsiTheme="minorHAnsi" w:cstheme="minorHAnsi"/>
          <w:color w:val="000000"/>
          <w:sz w:val="20"/>
          <w:szCs w:val="20"/>
        </w:rPr>
        <w:t xml:space="preserve"> provid</w:t>
      </w:r>
      <w:r w:rsidR="00CE6E39">
        <w:rPr>
          <w:rFonts w:asciiTheme="minorHAnsi" w:hAnsiTheme="minorHAnsi" w:cstheme="minorHAnsi"/>
          <w:color w:val="000000"/>
          <w:sz w:val="20"/>
          <w:szCs w:val="20"/>
        </w:rPr>
        <w:t>ing</w:t>
      </w:r>
      <w:r w:rsidR="00CE6E39" w:rsidRPr="006D26BB">
        <w:rPr>
          <w:rFonts w:asciiTheme="minorHAnsi" w:hAnsiTheme="minorHAnsi" w:cstheme="minorHAnsi"/>
          <w:color w:val="000000"/>
          <w:sz w:val="20"/>
          <w:szCs w:val="20"/>
        </w:rPr>
        <w:t xml:space="preserve"> beautiful and more sustainable products for every home. </w:t>
      </w:r>
    </w:p>
    <w:p w14:paraId="5EC7DF4A" w14:textId="087E3235" w:rsidR="00243A3F" w:rsidRPr="006D26BB" w:rsidRDefault="00243A3F" w:rsidP="00243A3F">
      <w:pPr>
        <w:spacing w:after="0" w:line="240" w:lineRule="auto"/>
        <w:jc w:val="both"/>
        <w:rPr>
          <w:rFonts w:asciiTheme="minorHAnsi" w:hAnsiTheme="minorHAnsi" w:cstheme="minorHAnsi"/>
          <w:color w:val="000000"/>
          <w:sz w:val="20"/>
          <w:szCs w:val="20"/>
        </w:rPr>
      </w:pPr>
    </w:p>
    <w:p w14:paraId="605E2413" w14:textId="77777777" w:rsidR="00243A3F" w:rsidRPr="002340A1" w:rsidRDefault="00243A3F" w:rsidP="00243A3F">
      <w:pPr>
        <w:spacing w:after="0" w:line="240" w:lineRule="auto"/>
        <w:jc w:val="both"/>
        <w:rPr>
          <w:rFonts w:asciiTheme="minorHAnsi" w:hAnsiTheme="minorHAnsi" w:cstheme="minorHAnsi"/>
          <w:b/>
          <w:bCs/>
          <w:sz w:val="20"/>
          <w:szCs w:val="20"/>
        </w:rPr>
      </w:pPr>
      <w:r w:rsidRPr="002340A1">
        <w:rPr>
          <w:rFonts w:asciiTheme="minorHAnsi" w:hAnsiTheme="minorHAnsi" w:cstheme="minorHAnsi"/>
          <w:b/>
          <w:bCs/>
          <w:sz w:val="20"/>
          <w:szCs w:val="20"/>
        </w:rPr>
        <w:t>Customer Diversification</w:t>
      </w:r>
    </w:p>
    <w:p w14:paraId="169ADCD9" w14:textId="761320BA" w:rsidR="00243A3F" w:rsidRPr="002340A1" w:rsidRDefault="00243A3F" w:rsidP="00243A3F">
      <w:pPr>
        <w:spacing w:after="0" w:line="240" w:lineRule="auto"/>
        <w:jc w:val="both"/>
        <w:rPr>
          <w:rFonts w:asciiTheme="minorHAnsi" w:hAnsiTheme="minorHAnsi" w:cstheme="minorHAnsi"/>
          <w:sz w:val="20"/>
          <w:szCs w:val="20"/>
        </w:rPr>
      </w:pPr>
      <w:r w:rsidRPr="002340A1">
        <w:rPr>
          <w:rFonts w:asciiTheme="minorHAnsi" w:hAnsiTheme="minorHAnsi" w:cstheme="minorHAnsi"/>
          <w:sz w:val="20"/>
          <w:szCs w:val="20"/>
        </w:rPr>
        <w:t xml:space="preserve">As a business we continue to diversify our customer base </w:t>
      </w:r>
      <w:r w:rsidR="0017327B" w:rsidRPr="002340A1">
        <w:rPr>
          <w:rFonts w:asciiTheme="minorHAnsi" w:hAnsiTheme="minorHAnsi" w:cstheme="minorHAnsi"/>
          <w:sz w:val="20"/>
          <w:szCs w:val="20"/>
        </w:rPr>
        <w:t>to</w:t>
      </w:r>
      <w:r w:rsidRPr="002340A1">
        <w:rPr>
          <w:rFonts w:asciiTheme="minorHAnsi" w:hAnsiTheme="minorHAnsi" w:cstheme="minorHAnsi"/>
          <w:sz w:val="20"/>
          <w:szCs w:val="20"/>
        </w:rPr>
        <w:t xml:space="preserve"> </w:t>
      </w:r>
      <w:r w:rsidR="00CC6F22" w:rsidRPr="002340A1">
        <w:rPr>
          <w:rFonts w:asciiTheme="minorHAnsi" w:hAnsiTheme="minorHAnsi" w:cstheme="minorHAnsi"/>
          <w:sz w:val="20"/>
          <w:szCs w:val="20"/>
        </w:rPr>
        <w:t>mitigate risk</w:t>
      </w:r>
      <w:r w:rsidRPr="002340A1">
        <w:rPr>
          <w:rFonts w:asciiTheme="minorHAnsi" w:hAnsiTheme="minorHAnsi" w:cstheme="minorHAnsi"/>
          <w:sz w:val="20"/>
          <w:szCs w:val="20"/>
        </w:rPr>
        <w:t xml:space="preserve"> </w:t>
      </w:r>
      <w:r w:rsidR="00CC6F22" w:rsidRPr="002340A1">
        <w:rPr>
          <w:rFonts w:asciiTheme="minorHAnsi" w:hAnsiTheme="minorHAnsi" w:cstheme="minorHAnsi"/>
          <w:sz w:val="20"/>
          <w:szCs w:val="20"/>
        </w:rPr>
        <w:t xml:space="preserve">and increase the predictability </w:t>
      </w:r>
      <w:r w:rsidRPr="002340A1">
        <w:rPr>
          <w:rFonts w:asciiTheme="minorHAnsi" w:hAnsiTheme="minorHAnsi" w:cstheme="minorHAnsi"/>
          <w:sz w:val="20"/>
          <w:szCs w:val="20"/>
        </w:rPr>
        <w:t>of our sales. In the current period we have seen the benefits of this strategy</w:t>
      </w:r>
      <w:r w:rsidR="00CC6F22" w:rsidRPr="002340A1">
        <w:rPr>
          <w:rFonts w:asciiTheme="minorHAnsi" w:hAnsiTheme="minorHAnsi" w:cstheme="minorHAnsi"/>
          <w:sz w:val="20"/>
          <w:szCs w:val="20"/>
        </w:rPr>
        <w:t xml:space="preserve"> in full effect</w:t>
      </w:r>
      <w:r w:rsidRPr="002340A1">
        <w:rPr>
          <w:rFonts w:asciiTheme="minorHAnsi" w:hAnsiTheme="minorHAnsi" w:cstheme="minorHAnsi"/>
          <w:sz w:val="20"/>
          <w:szCs w:val="20"/>
        </w:rPr>
        <w:t xml:space="preserve">. During a period of significant uncertainty around consumer sentiment, </w:t>
      </w:r>
      <w:r w:rsidR="00BE410B" w:rsidRPr="002340A1">
        <w:rPr>
          <w:rFonts w:asciiTheme="minorHAnsi" w:hAnsiTheme="minorHAnsi" w:cstheme="minorHAnsi"/>
          <w:sz w:val="20"/>
          <w:szCs w:val="20"/>
        </w:rPr>
        <w:t>Group</w:t>
      </w:r>
      <w:r w:rsidRPr="002340A1">
        <w:rPr>
          <w:rFonts w:asciiTheme="minorHAnsi" w:hAnsiTheme="minorHAnsi" w:cstheme="minorHAnsi"/>
          <w:sz w:val="20"/>
          <w:szCs w:val="20"/>
        </w:rPr>
        <w:t xml:space="preserve"> revenues increased </w:t>
      </w:r>
      <w:r w:rsidR="00FF1C37" w:rsidRPr="002340A1">
        <w:rPr>
          <w:rFonts w:asciiTheme="minorHAnsi" w:hAnsiTheme="minorHAnsi" w:cstheme="minorHAnsi"/>
          <w:sz w:val="20"/>
          <w:szCs w:val="20"/>
        </w:rPr>
        <w:t>2</w:t>
      </w:r>
      <w:r w:rsidRPr="002340A1">
        <w:rPr>
          <w:rFonts w:asciiTheme="minorHAnsi" w:hAnsiTheme="minorHAnsi" w:cstheme="minorHAnsi"/>
          <w:sz w:val="20"/>
          <w:szCs w:val="20"/>
        </w:rPr>
        <w:t>% to £8</w:t>
      </w:r>
      <w:r w:rsidR="00FF1C37" w:rsidRPr="002340A1">
        <w:rPr>
          <w:rFonts w:asciiTheme="minorHAnsi" w:hAnsiTheme="minorHAnsi" w:cstheme="minorHAnsi"/>
          <w:sz w:val="20"/>
          <w:szCs w:val="20"/>
        </w:rPr>
        <w:t>7.6</w:t>
      </w:r>
      <w:r w:rsidRPr="002340A1">
        <w:rPr>
          <w:rFonts w:asciiTheme="minorHAnsi" w:hAnsiTheme="minorHAnsi" w:cstheme="minorHAnsi"/>
          <w:sz w:val="20"/>
          <w:szCs w:val="20"/>
        </w:rPr>
        <w:t>m (H1 2022: £85.7m)</w:t>
      </w:r>
      <w:r w:rsidR="000A00C3" w:rsidRPr="000A00C3">
        <w:rPr>
          <w:rFonts w:asciiTheme="minorHAnsi" w:hAnsiTheme="minorHAnsi" w:cstheme="minorHAnsi"/>
          <w:bCs/>
          <w:color w:val="000000" w:themeColor="text1"/>
          <w:sz w:val="20"/>
          <w:szCs w:val="20"/>
        </w:rPr>
        <w:t xml:space="preserve"> </w:t>
      </w:r>
      <w:r w:rsidR="000A00C3" w:rsidRPr="006D2321">
        <w:rPr>
          <w:rFonts w:asciiTheme="minorHAnsi" w:hAnsiTheme="minorHAnsi" w:cstheme="minorHAnsi"/>
          <w:bCs/>
          <w:color w:val="000000" w:themeColor="text1"/>
          <w:sz w:val="20"/>
          <w:szCs w:val="20"/>
        </w:rPr>
        <w:t>achieved with no overall price inflation to keep our products at prices which are accessible to all consumers</w:t>
      </w:r>
      <w:r w:rsidRPr="002340A1">
        <w:rPr>
          <w:rFonts w:asciiTheme="minorHAnsi" w:hAnsiTheme="minorHAnsi" w:cstheme="minorHAnsi"/>
          <w:sz w:val="20"/>
          <w:szCs w:val="20"/>
        </w:rPr>
        <w:t xml:space="preserve">. Online channels were the main driver of </w:t>
      </w:r>
      <w:r w:rsidR="000A00C3">
        <w:rPr>
          <w:rFonts w:asciiTheme="minorHAnsi" w:hAnsiTheme="minorHAnsi" w:cstheme="minorHAnsi"/>
          <w:sz w:val="20"/>
          <w:szCs w:val="20"/>
        </w:rPr>
        <w:t xml:space="preserve">revenue </w:t>
      </w:r>
      <w:r w:rsidRPr="002340A1">
        <w:rPr>
          <w:rFonts w:asciiTheme="minorHAnsi" w:hAnsiTheme="minorHAnsi" w:cstheme="minorHAnsi"/>
          <w:sz w:val="20"/>
          <w:szCs w:val="20"/>
        </w:rPr>
        <w:t xml:space="preserve">growth, supported by buoyant consumer demand for energy efficient and money saving products. In the </w:t>
      </w:r>
      <w:r w:rsidR="00CC6F22" w:rsidRPr="002340A1">
        <w:rPr>
          <w:rFonts w:asciiTheme="minorHAnsi" w:hAnsiTheme="minorHAnsi" w:cstheme="minorHAnsi"/>
          <w:sz w:val="20"/>
          <w:szCs w:val="20"/>
        </w:rPr>
        <w:t>first half of the prior year</w:t>
      </w:r>
      <w:r w:rsidR="00BE410B" w:rsidRPr="002340A1">
        <w:rPr>
          <w:rFonts w:asciiTheme="minorHAnsi" w:hAnsiTheme="minorHAnsi" w:cstheme="minorHAnsi"/>
          <w:sz w:val="20"/>
          <w:szCs w:val="20"/>
        </w:rPr>
        <w:t>,</w:t>
      </w:r>
      <w:r w:rsidR="00CC6F22" w:rsidRPr="002340A1">
        <w:rPr>
          <w:rFonts w:asciiTheme="minorHAnsi" w:hAnsiTheme="minorHAnsi" w:cstheme="minorHAnsi"/>
          <w:sz w:val="20"/>
          <w:szCs w:val="20"/>
        </w:rPr>
        <w:t xml:space="preserve"> </w:t>
      </w:r>
      <w:r w:rsidR="00BE410B" w:rsidRPr="002340A1">
        <w:rPr>
          <w:rFonts w:asciiTheme="minorHAnsi" w:hAnsiTheme="minorHAnsi" w:cstheme="minorHAnsi"/>
          <w:sz w:val="20"/>
          <w:szCs w:val="20"/>
        </w:rPr>
        <w:t xml:space="preserve">amidst a period of significant supply constraints, </w:t>
      </w:r>
      <w:r w:rsidR="00CC6F22" w:rsidRPr="002340A1">
        <w:rPr>
          <w:rFonts w:asciiTheme="minorHAnsi" w:hAnsiTheme="minorHAnsi" w:cstheme="minorHAnsi"/>
          <w:sz w:val="20"/>
          <w:szCs w:val="20"/>
        </w:rPr>
        <w:t>we</w:t>
      </w:r>
      <w:r w:rsidRPr="002340A1">
        <w:rPr>
          <w:rFonts w:asciiTheme="minorHAnsi" w:hAnsiTheme="minorHAnsi" w:cstheme="minorHAnsi"/>
          <w:sz w:val="20"/>
          <w:szCs w:val="20"/>
        </w:rPr>
        <w:t xml:space="preserve"> made the strategic decision to prioritise </w:t>
      </w:r>
      <w:r w:rsidR="00C53B06">
        <w:rPr>
          <w:rFonts w:asciiTheme="minorHAnsi" w:hAnsiTheme="minorHAnsi" w:cstheme="minorHAnsi"/>
          <w:sz w:val="20"/>
          <w:szCs w:val="20"/>
        </w:rPr>
        <w:t xml:space="preserve">orders made by </w:t>
      </w:r>
      <w:r w:rsidRPr="002340A1">
        <w:rPr>
          <w:rFonts w:asciiTheme="minorHAnsi" w:hAnsiTheme="minorHAnsi" w:cstheme="minorHAnsi"/>
          <w:sz w:val="20"/>
          <w:szCs w:val="20"/>
        </w:rPr>
        <w:t xml:space="preserve">our retail partners, meaning that sales through our online channels were </w:t>
      </w:r>
      <w:r w:rsidR="00BE410B" w:rsidRPr="002340A1">
        <w:rPr>
          <w:rFonts w:asciiTheme="minorHAnsi" w:hAnsiTheme="minorHAnsi" w:cstheme="minorHAnsi"/>
          <w:sz w:val="20"/>
          <w:szCs w:val="20"/>
        </w:rPr>
        <w:t>necessarily constrained</w:t>
      </w:r>
      <w:r w:rsidRPr="002340A1">
        <w:rPr>
          <w:rFonts w:asciiTheme="minorHAnsi" w:hAnsiTheme="minorHAnsi" w:cstheme="minorHAnsi"/>
          <w:sz w:val="20"/>
          <w:szCs w:val="20"/>
        </w:rPr>
        <w:t xml:space="preserve">. </w:t>
      </w:r>
      <w:r w:rsidR="00BE410B" w:rsidRPr="002340A1">
        <w:rPr>
          <w:rFonts w:asciiTheme="minorHAnsi" w:hAnsiTheme="minorHAnsi" w:cstheme="minorHAnsi"/>
          <w:sz w:val="20"/>
          <w:szCs w:val="20"/>
        </w:rPr>
        <w:t>Pleasingly, t</w:t>
      </w:r>
      <w:r w:rsidRPr="002340A1">
        <w:rPr>
          <w:rFonts w:asciiTheme="minorHAnsi" w:hAnsiTheme="minorHAnsi" w:cstheme="minorHAnsi"/>
          <w:sz w:val="20"/>
          <w:szCs w:val="20"/>
        </w:rPr>
        <w:t>he continued normalisation of global supply chains has</w:t>
      </w:r>
      <w:r w:rsidR="00BE410B" w:rsidRPr="002340A1">
        <w:rPr>
          <w:rFonts w:asciiTheme="minorHAnsi" w:hAnsiTheme="minorHAnsi" w:cstheme="minorHAnsi"/>
          <w:sz w:val="20"/>
          <w:szCs w:val="20"/>
        </w:rPr>
        <w:t xml:space="preserve"> now enabled us</w:t>
      </w:r>
      <w:r w:rsidRPr="002340A1">
        <w:rPr>
          <w:rFonts w:asciiTheme="minorHAnsi" w:hAnsiTheme="minorHAnsi" w:cstheme="minorHAnsi"/>
          <w:sz w:val="20"/>
          <w:szCs w:val="20"/>
        </w:rPr>
        <w:t xml:space="preserve"> to</w:t>
      </w:r>
      <w:r w:rsidR="00BE410B" w:rsidRPr="002340A1">
        <w:rPr>
          <w:rFonts w:asciiTheme="minorHAnsi" w:hAnsiTheme="minorHAnsi" w:cstheme="minorHAnsi"/>
          <w:sz w:val="20"/>
          <w:szCs w:val="20"/>
        </w:rPr>
        <w:t xml:space="preserve"> fully service, and continue to grow, our online channels, which still represent </w:t>
      </w:r>
      <w:r w:rsidRPr="002340A1">
        <w:rPr>
          <w:rFonts w:asciiTheme="minorHAnsi" w:hAnsiTheme="minorHAnsi" w:cstheme="minorHAnsi"/>
          <w:sz w:val="20"/>
          <w:szCs w:val="20"/>
        </w:rPr>
        <w:t xml:space="preserve">a relatively nascent part of our diverse customer base. </w:t>
      </w:r>
    </w:p>
    <w:p w14:paraId="4E17328B" w14:textId="77777777" w:rsidR="00243A3F" w:rsidRPr="002340A1" w:rsidRDefault="00243A3F" w:rsidP="00243A3F">
      <w:pPr>
        <w:spacing w:after="0" w:line="240" w:lineRule="auto"/>
        <w:jc w:val="both"/>
        <w:rPr>
          <w:rFonts w:asciiTheme="minorHAnsi" w:hAnsiTheme="minorHAnsi" w:cstheme="minorHAnsi"/>
          <w:sz w:val="20"/>
          <w:szCs w:val="20"/>
        </w:rPr>
      </w:pPr>
    </w:p>
    <w:p w14:paraId="6AFAE3CC" w14:textId="0D46A3ED" w:rsidR="00243A3F" w:rsidRPr="002340A1" w:rsidRDefault="00F0453A" w:rsidP="00243A3F">
      <w:pPr>
        <w:spacing w:after="0" w:line="240" w:lineRule="auto"/>
        <w:jc w:val="both"/>
        <w:rPr>
          <w:rFonts w:asciiTheme="minorHAnsi" w:hAnsiTheme="minorHAnsi" w:cstheme="minorHAnsi"/>
          <w:sz w:val="20"/>
          <w:szCs w:val="20"/>
        </w:rPr>
      </w:pPr>
      <w:r w:rsidRPr="002340A1">
        <w:rPr>
          <w:rFonts w:asciiTheme="minorHAnsi" w:hAnsiTheme="minorHAnsi" w:cstheme="minorHAnsi"/>
          <w:sz w:val="20"/>
          <w:szCs w:val="20"/>
        </w:rPr>
        <w:t xml:space="preserve">Our </w:t>
      </w:r>
      <w:r w:rsidR="00243A3F" w:rsidRPr="002340A1">
        <w:rPr>
          <w:rFonts w:asciiTheme="minorHAnsi" w:hAnsiTheme="minorHAnsi" w:cstheme="minorHAnsi"/>
          <w:sz w:val="20"/>
          <w:szCs w:val="20"/>
        </w:rPr>
        <w:t>online growth has more than offset the current comparative weakness we have seen in other areas.</w:t>
      </w:r>
      <w:r w:rsidRPr="002340A1">
        <w:rPr>
          <w:rFonts w:asciiTheme="minorHAnsi" w:hAnsiTheme="minorHAnsi" w:cstheme="minorHAnsi"/>
          <w:sz w:val="20"/>
          <w:szCs w:val="20"/>
        </w:rPr>
        <w:t xml:space="preserve"> R</w:t>
      </w:r>
      <w:r w:rsidR="00243A3F" w:rsidRPr="002340A1">
        <w:rPr>
          <w:rFonts w:asciiTheme="minorHAnsi" w:hAnsiTheme="minorHAnsi" w:cstheme="minorHAnsi"/>
          <w:sz w:val="20"/>
          <w:szCs w:val="20"/>
        </w:rPr>
        <w:t>etail customers have been understandably cautious in the size of forward orders, given the current macroeconomic environment</w:t>
      </w:r>
      <w:r w:rsidR="00A42F69" w:rsidRPr="002340A1">
        <w:rPr>
          <w:rFonts w:asciiTheme="minorHAnsi" w:hAnsiTheme="minorHAnsi" w:cstheme="minorHAnsi"/>
          <w:sz w:val="20"/>
          <w:szCs w:val="20"/>
        </w:rPr>
        <w:t xml:space="preserve"> and high stock levels carried over from the pandemic</w:t>
      </w:r>
      <w:r w:rsidR="00243A3F" w:rsidRPr="002340A1">
        <w:rPr>
          <w:rFonts w:asciiTheme="minorHAnsi" w:hAnsiTheme="minorHAnsi" w:cstheme="minorHAnsi"/>
          <w:sz w:val="20"/>
          <w:szCs w:val="20"/>
        </w:rPr>
        <w:t xml:space="preserve">. Although sales to retail customers fell by </w:t>
      </w:r>
      <w:r w:rsidR="00AF4101" w:rsidRPr="002340A1">
        <w:rPr>
          <w:rFonts w:asciiTheme="minorHAnsi" w:hAnsiTheme="minorHAnsi" w:cstheme="minorHAnsi"/>
          <w:sz w:val="20"/>
          <w:szCs w:val="20"/>
        </w:rPr>
        <w:t>11</w:t>
      </w:r>
      <w:r w:rsidR="00243A3F" w:rsidRPr="002340A1">
        <w:rPr>
          <w:rFonts w:asciiTheme="minorHAnsi" w:hAnsiTheme="minorHAnsi" w:cstheme="minorHAnsi"/>
          <w:sz w:val="20"/>
          <w:szCs w:val="20"/>
        </w:rPr>
        <w:t xml:space="preserve">% during the period, we see reason to be optimistic in the medium term, with the levels of overstocking </w:t>
      </w:r>
      <w:proofErr w:type="gramStart"/>
      <w:r w:rsidR="00243A3F" w:rsidRPr="002340A1">
        <w:rPr>
          <w:rFonts w:asciiTheme="minorHAnsi" w:hAnsiTheme="minorHAnsi" w:cstheme="minorHAnsi"/>
          <w:sz w:val="20"/>
          <w:szCs w:val="20"/>
        </w:rPr>
        <w:t>that retailers</w:t>
      </w:r>
      <w:proofErr w:type="gramEnd"/>
      <w:r w:rsidR="00243A3F" w:rsidRPr="002340A1">
        <w:rPr>
          <w:rFonts w:asciiTheme="minorHAnsi" w:hAnsiTheme="minorHAnsi" w:cstheme="minorHAnsi"/>
          <w:sz w:val="20"/>
          <w:szCs w:val="20"/>
        </w:rPr>
        <w:t xml:space="preserve"> experienced following the COVID-19 pandemic showing signs of subsiding</w:t>
      </w:r>
      <w:r w:rsidR="006217AE">
        <w:rPr>
          <w:rFonts w:asciiTheme="minorHAnsi" w:hAnsiTheme="minorHAnsi" w:cstheme="minorHAnsi"/>
          <w:sz w:val="20"/>
          <w:szCs w:val="20"/>
        </w:rPr>
        <w:t>.</w:t>
      </w:r>
      <w:r w:rsidR="00243A3F" w:rsidRPr="002340A1">
        <w:rPr>
          <w:rFonts w:asciiTheme="minorHAnsi" w:hAnsiTheme="minorHAnsi" w:cstheme="minorHAnsi"/>
          <w:sz w:val="20"/>
          <w:szCs w:val="20"/>
        </w:rPr>
        <w:t xml:space="preserve"> </w:t>
      </w:r>
    </w:p>
    <w:p w14:paraId="3601F921" w14:textId="77777777" w:rsidR="00243A3F" w:rsidRPr="006D26BB" w:rsidRDefault="00243A3F" w:rsidP="00243A3F">
      <w:pPr>
        <w:spacing w:after="0" w:line="240" w:lineRule="auto"/>
        <w:jc w:val="both"/>
        <w:rPr>
          <w:rFonts w:asciiTheme="minorHAnsi" w:hAnsiTheme="minorHAnsi" w:cstheme="minorHAnsi"/>
          <w:color w:val="16202C"/>
          <w:sz w:val="20"/>
          <w:szCs w:val="20"/>
        </w:rPr>
      </w:pPr>
    </w:p>
    <w:p w14:paraId="3597742D" w14:textId="77777777" w:rsidR="00243A3F" w:rsidRPr="006D26BB" w:rsidRDefault="00243A3F" w:rsidP="00243A3F">
      <w:pPr>
        <w:spacing w:after="0" w:line="240" w:lineRule="auto"/>
        <w:jc w:val="both"/>
        <w:rPr>
          <w:rFonts w:asciiTheme="minorHAnsi" w:hAnsiTheme="minorHAnsi" w:cstheme="minorHAnsi"/>
          <w:b/>
          <w:bCs/>
          <w:color w:val="000000" w:themeColor="text1"/>
          <w:sz w:val="20"/>
          <w:szCs w:val="20"/>
        </w:rPr>
      </w:pPr>
      <w:r w:rsidRPr="006D26BB">
        <w:rPr>
          <w:rFonts w:asciiTheme="minorHAnsi" w:hAnsiTheme="minorHAnsi" w:cstheme="minorHAnsi"/>
          <w:b/>
          <w:bCs/>
          <w:color w:val="000000" w:themeColor="text1"/>
          <w:sz w:val="20"/>
          <w:szCs w:val="20"/>
        </w:rPr>
        <w:t xml:space="preserve">ESG Strategy Launch </w:t>
      </w:r>
    </w:p>
    <w:p w14:paraId="0E50A842" w14:textId="56778D64" w:rsidR="00243A3F" w:rsidRPr="006D26BB" w:rsidRDefault="00F0453A" w:rsidP="00243A3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Doing</w:t>
      </w:r>
      <w:r w:rsidR="00243A3F" w:rsidRPr="006D26BB">
        <w:rPr>
          <w:rFonts w:asciiTheme="minorHAnsi" w:hAnsiTheme="minorHAnsi" w:cstheme="minorHAnsi"/>
          <w:sz w:val="20"/>
          <w:szCs w:val="20"/>
        </w:rPr>
        <w:t xml:space="preserve"> the right thing has always been </w:t>
      </w:r>
      <w:r w:rsidR="00846D0B">
        <w:rPr>
          <w:rFonts w:asciiTheme="minorHAnsi" w:hAnsiTheme="minorHAnsi" w:cstheme="minorHAnsi"/>
          <w:sz w:val="20"/>
          <w:szCs w:val="20"/>
        </w:rPr>
        <w:t xml:space="preserve">at the </w:t>
      </w:r>
      <w:r w:rsidR="00243A3F" w:rsidRPr="006D26BB">
        <w:rPr>
          <w:rFonts w:asciiTheme="minorHAnsi" w:hAnsiTheme="minorHAnsi" w:cstheme="minorHAnsi"/>
          <w:sz w:val="20"/>
          <w:szCs w:val="20"/>
        </w:rPr>
        <w:t xml:space="preserve">core </w:t>
      </w:r>
      <w:r w:rsidR="00846D0B">
        <w:rPr>
          <w:rFonts w:asciiTheme="minorHAnsi" w:hAnsiTheme="minorHAnsi" w:cstheme="minorHAnsi"/>
          <w:sz w:val="20"/>
          <w:szCs w:val="20"/>
        </w:rPr>
        <w:t>of</w:t>
      </w:r>
      <w:r w:rsidR="00243A3F" w:rsidRPr="006D26BB">
        <w:rPr>
          <w:rFonts w:asciiTheme="minorHAnsi" w:hAnsiTheme="minorHAnsi" w:cstheme="minorHAnsi"/>
          <w:sz w:val="20"/>
          <w:szCs w:val="20"/>
        </w:rPr>
        <w:t xml:space="preserve"> everything that </w:t>
      </w:r>
      <w:r>
        <w:rPr>
          <w:rFonts w:asciiTheme="minorHAnsi" w:hAnsiTheme="minorHAnsi" w:cstheme="minorHAnsi"/>
          <w:sz w:val="20"/>
          <w:szCs w:val="20"/>
        </w:rPr>
        <w:t>we</w:t>
      </w:r>
      <w:r w:rsidR="00243A3F" w:rsidRPr="006D26BB">
        <w:rPr>
          <w:rFonts w:asciiTheme="minorHAnsi" w:hAnsiTheme="minorHAnsi" w:cstheme="minorHAnsi"/>
          <w:sz w:val="20"/>
          <w:szCs w:val="20"/>
        </w:rPr>
        <w:t xml:space="preserve"> do. </w:t>
      </w:r>
      <w:r w:rsidRPr="00F0453A">
        <w:rPr>
          <w:rFonts w:asciiTheme="minorHAnsi" w:hAnsiTheme="minorHAnsi" w:cstheme="minorHAnsi"/>
          <w:sz w:val="20"/>
          <w:szCs w:val="20"/>
        </w:rPr>
        <w:t xml:space="preserve">As </w:t>
      </w:r>
      <w:r>
        <w:rPr>
          <w:rFonts w:asciiTheme="minorHAnsi" w:hAnsiTheme="minorHAnsi" w:cstheme="minorHAnsi"/>
          <w:sz w:val="20"/>
          <w:szCs w:val="20"/>
        </w:rPr>
        <w:t xml:space="preserve">Ultimate Products </w:t>
      </w:r>
      <w:r w:rsidRPr="00F0453A">
        <w:rPr>
          <w:rFonts w:asciiTheme="minorHAnsi" w:hAnsiTheme="minorHAnsi" w:cstheme="minorHAnsi"/>
          <w:sz w:val="20"/>
          <w:szCs w:val="20"/>
        </w:rPr>
        <w:t xml:space="preserve">continues to grow, we are acutely aware that our efforts and ambitions should be underpinned by a clear sense of responsibility and purpose. We have therefore developed a comprehensive ESG strategy which covers </w:t>
      </w:r>
      <w:r w:rsidRPr="00F0453A">
        <w:rPr>
          <w:rFonts w:asciiTheme="minorHAnsi" w:hAnsiTheme="minorHAnsi" w:cstheme="minorHAnsi"/>
          <w:sz w:val="20"/>
          <w:szCs w:val="20"/>
        </w:rPr>
        <w:lastRenderedPageBreak/>
        <w:t>everything from our purpose of developing products for the home, educating consumers, investing in our colleagues, and supporting those that need it most within our local communities.</w:t>
      </w:r>
      <w:r>
        <w:rPr>
          <w:rFonts w:asciiTheme="minorHAnsi" w:hAnsiTheme="minorHAnsi" w:cstheme="minorHAnsi"/>
          <w:sz w:val="20"/>
          <w:szCs w:val="20"/>
        </w:rPr>
        <w:t xml:space="preserve"> This strategy</w:t>
      </w:r>
      <w:r w:rsidR="00243A3F" w:rsidRPr="006D26BB">
        <w:rPr>
          <w:rFonts w:asciiTheme="minorHAnsi" w:hAnsiTheme="minorHAnsi" w:cstheme="minorHAnsi"/>
          <w:sz w:val="20"/>
          <w:szCs w:val="20"/>
        </w:rPr>
        <w:t xml:space="preserve"> will be at the heart of </w:t>
      </w:r>
      <w:r>
        <w:rPr>
          <w:rFonts w:asciiTheme="minorHAnsi" w:hAnsiTheme="minorHAnsi" w:cstheme="minorHAnsi"/>
          <w:sz w:val="20"/>
          <w:szCs w:val="20"/>
        </w:rPr>
        <w:t xml:space="preserve">everything that </w:t>
      </w:r>
      <w:r w:rsidR="00243A3F" w:rsidRPr="006D26BB">
        <w:rPr>
          <w:rFonts w:asciiTheme="minorHAnsi" w:hAnsiTheme="minorHAnsi" w:cstheme="minorHAnsi"/>
          <w:sz w:val="20"/>
          <w:szCs w:val="20"/>
        </w:rPr>
        <w:t xml:space="preserve">we </w:t>
      </w:r>
      <w:proofErr w:type="gramStart"/>
      <w:r w:rsidR="00243A3F" w:rsidRPr="006D26BB">
        <w:rPr>
          <w:rFonts w:asciiTheme="minorHAnsi" w:hAnsiTheme="minorHAnsi" w:cstheme="minorHAnsi"/>
          <w:sz w:val="20"/>
          <w:szCs w:val="20"/>
        </w:rPr>
        <w:t xml:space="preserve">do, </w:t>
      </w:r>
      <w:r>
        <w:rPr>
          <w:rFonts w:asciiTheme="minorHAnsi" w:hAnsiTheme="minorHAnsi" w:cstheme="minorHAnsi"/>
          <w:sz w:val="20"/>
          <w:szCs w:val="20"/>
        </w:rPr>
        <w:t>and</w:t>
      </w:r>
      <w:proofErr w:type="gramEnd"/>
      <w:r w:rsidRPr="006D26BB">
        <w:rPr>
          <w:rFonts w:asciiTheme="minorHAnsi" w:hAnsiTheme="minorHAnsi" w:cstheme="minorHAnsi"/>
          <w:sz w:val="20"/>
          <w:szCs w:val="20"/>
        </w:rPr>
        <w:t xml:space="preserve"> </w:t>
      </w:r>
      <w:r w:rsidR="00243A3F" w:rsidRPr="006D26BB">
        <w:rPr>
          <w:rFonts w:asciiTheme="minorHAnsi" w:hAnsiTheme="minorHAnsi" w:cstheme="minorHAnsi"/>
          <w:sz w:val="20"/>
          <w:szCs w:val="20"/>
        </w:rPr>
        <w:t>ensure</w:t>
      </w:r>
      <w:r w:rsidR="000D3208">
        <w:rPr>
          <w:rFonts w:asciiTheme="minorHAnsi" w:hAnsiTheme="minorHAnsi" w:cstheme="minorHAnsi"/>
          <w:sz w:val="20"/>
          <w:szCs w:val="20"/>
        </w:rPr>
        <w:t>s</w:t>
      </w:r>
      <w:r w:rsidR="00243A3F" w:rsidRPr="006D26BB">
        <w:rPr>
          <w:rFonts w:asciiTheme="minorHAnsi" w:hAnsiTheme="minorHAnsi" w:cstheme="minorHAnsi"/>
          <w:sz w:val="20"/>
          <w:szCs w:val="20"/>
        </w:rPr>
        <w:t xml:space="preserve"> that our efforts and ambitions have a clear sense of direction to unite our colleagues and supply partners across the globe.</w:t>
      </w:r>
      <w:r>
        <w:rPr>
          <w:rFonts w:asciiTheme="minorHAnsi" w:hAnsiTheme="minorHAnsi" w:cstheme="minorHAnsi"/>
          <w:sz w:val="20"/>
          <w:szCs w:val="20"/>
        </w:rPr>
        <w:t xml:space="preserve"> </w:t>
      </w:r>
      <w:r w:rsidR="00243A3F" w:rsidRPr="006D26BB">
        <w:rPr>
          <w:rFonts w:asciiTheme="minorHAnsi" w:hAnsiTheme="minorHAnsi" w:cstheme="minorHAnsi"/>
          <w:sz w:val="20"/>
          <w:szCs w:val="20"/>
        </w:rPr>
        <w:t xml:space="preserve">We are </w:t>
      </w:r>
      <w:r w:rsidR="000D3208">
        <w:rPr>
          <w:rFonts w:asciiTheme="minorHAnsi" w:hAnsiTheme="minorHAnsi" w:cstheme="minorHAnsi"/>
          <w:sz w:val="20"/>
          <w:szCs w:val="20"/>
        </w:rPr>
        <w:t>cognisant</w:t>
      </w:r>
      <w:r w:rsidR="00243A3F" w:rsidRPr="006D26BB">
        <w:rPr>
          <w:rFonts w:asciiTheme="minorHAnsi" w:hAnsiTheme="minorHAnsi" w:cstheme="minorHAnsi"/>
          <w:sz w:val="20"/>
          <w:szCs w:val="20"/>
        </w:rPr>
        <w:t xml:space="preserve"> of the impact that our business has on the world </w:t>
      </w:r>
      <w:r w:rsidR="000D3208">
        <w:rPr>
          <w:rFonts w:asciiTheme="minorHAnsi" w:hAnsiTheme="minorHAnsi" w:cstheme="minorHAnsi"/>
          <w:sz w:val="20"/>
          <w:szCs w:val="20"/>
        </w:rPr>
        <w:t>i</w:t>
      </w:r>
      <w:r w:rsidR="00243A3F" w:rsidRPr="006D26BB">
        <w:rPr>
          <w:rFonts w:asciiTheme="minorHAnsi" w:hAnsiTheme="minorHAnsi" w:cstheme="minorHAnsi"/>
          <w:sz w:val="20"/>
          <w:szCs w:val="20"/>
        </w:rPr>
        <w:t xml:space="preserve">n which we </w:t>
      </w:r>
      <w:r w:rsidR="0017327B" w:rsidRPr="006D26BB">
        <w:rPr>
          <w:rFonts w:asciiTheme="minorHAnsi" w:hAnsiTheme="minorHAnsi" w:cstheme="minorHAnsi"/>
          <w:sz w:val="20"/>
          <w:szCs w:val="20"/>
        </w:rPr>
        <w:t>operate, and</w:t>
      </w:r>
      <w:r w:rsidR="00243A3F" w:rsidRPr="006D26BB">
        <w:rPr>
          <w:rFonts w:asciiTheme="minorHAnsi" w:hAnsiTheme="minorHAnsi" w:cstheme="minorHAnsi"/>
          <w:sz w:val="20"/>
          <w:szCs w:val="20"/>
        </w:rPr>
        <w:t xml:space="preserve"> we know that</w:t>
      </w:r>
      <w:r w:rsidR="000D3208">
        <w:rPr>
          <w:rFonts w:asciiTheme="minorHAnsi" w:hAnsiTheme="minorHAnsi" w:cstheme="minorHAnsi"/>
          <w:sz w:val="20"/>
          <w:szCs w:val="20"/>
        </w:rPr>
        <w:t>,</w:t>
      </w:r>
      <w:r w:rsidR="00243A3F" w:rsidRPr="006D26BB">
        <w:rPr>
          <w:rFonts w:asciiTheme="minorHAnsi" w:hAnsiTheme="minorHAnsi" w:cstheme="minorHAnsi"/>
          <w:sz w:val="20"/>
          <w:szCs w:val="20"/>
        </w:rPr>
        <w:t xml:space="preserve"> to </w:t>
      </w:r>
      <w:r w:rsidR="000D3208">
        <w:rPr>
          <w:rFonts w:asciiTheme="minorHAnsi" w:hAnsiTheme="minorHAnsi" w:cstheme="minorHAnsi"/>
          <w:sz w:val="20"/>
          <w:szCs w:val="20"/>
        </w:rPr>
        <w:t>ensure long</w:t>
      </w:r>
      <w:r w:rsidR="009E7467">
        <w:rPr>
          <w:rFonts w:asciiTheme="minorHAnsi" w:hAnsiTheme="minorHAnsi" w:cstheme="minorHAnsi"/>
          <w:sz w:val="20"/>
          <w:szCs w:val="20"/>
        </w:rPr>
        <w:t>-</w:t>
      </w:r>
      <w:r w:rsidR="000D3208">
        <w:rPr>
          <w:rFonts w:asciiTheme="minorHAnsi" w:hAnsiTheme="minorHAnsi" w:cstheme="minorHAnsi"/>
          <w:sz w:val="20"/>
          <w:szCs w:val="20"/>
        </w:rPr>
        <w:t>term success</w:t>
      </w:r>
      <w:r w:rsidR="00243A3F" w:rsidRPr="006D26BB">
        <w:rPr>
          <w:rFonts w:asciiTheme="minorHAnsi" w:hAnsiTheme="minorHAnsi" w:cstheme="minorHAnsi"/>
          <w:sz w:val="20"/>
          <w:szCs w:val="20"/>
        </w:rPr>
        <w:t xml:space="preserve">, we must play our part in becoming a more sustainable business. </w:t>
      </w:r>
    </w:p>
    <w:p w14:paraId="4753B183" w14:textId="77777777" w:rsidR="00243A3F" w:rsidRPr="006D26BB" w:rsidRDefault="00243A3F" w:rsidP="00243A3F">
      <w:pPr>
        <w:spacing w:after="0" w:line="240" w:lineRule="auto"/>
        <w:jc w:val="both"/>
        <w:rPr>
          <w:rFonts w:asciiTheme="minorHAnsi" w:hAnsiTheme="minorHAnsi" w:cstheme="minorHAnsi"/>
          <w:sz w:val="20"/>
          <w:szCs w:val="20"/>
        </w:rPr>
      </w:pPr>
    </w:p>
    <w:p w14:paraId="70CDB7A4" w14:textId="5D9CC183" w:rsidR="00243A3F" w:rsidRDefault="000D3208" w:rsidP="00243A3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We also</w:t>
      </w:r>
      <w:r w:rsidR="00243A3F" w:rsidRPr="006D26BB">
        <w:rPr>
          <w:rFonts w:asciiTheme="minorHAnsi" w:hAnsiTheme="minorHAnsi" w:cstheme="minorHAnsi"/>
          <w:sz w:val="20"/>
          <w:szCs w:val="20"/>
        </w:rPr>
        <w:t xml:space="preserve"> recognise that our retail partners need our help to achieve their own ESG ambitions, particularly within the environmental </w:t>
      </w:r>
      <w:r>
        <w:rPr>
          <w:rFonts w:asciiTheme="minorHAnsi" w:hAnsiTheme="minorHAnsi" w:cstheme="minorHAnsi"/>
          <w:sz w:val="20"/>
          <w:szCs w:val="20"/>
        </w:rPr>
        <w:t>pillar</w:t>
      </w:r>
      <w:r w:rsidR="001F57C6">
        <w:rPr>
          <w:rFonts w:asciiTheme="minorHAnsi" w:hAnsiTheme="minorHAnsi" w:cstheme="minorHAnsi"/>
          <w:sz w:val="20"/>
          <w:szCs w:val="20"/>
        </w:rPr>
        <w:t xml:space="preserve">, where </w:t>
      </w:r>
      <w:r w:rsidR="005D4C7B">
        <w:rPr>
          <w:rFonts w:asciiTheme="minorHAnsi" w:hAnsiTheme="minorHAnsi" w:cstheme="minorHAnsi"/>
          <w:sz w:val="20"/>
          <w:szCs w:val="20"/>
        </w:rPr>
        <w:t xml:space="preserve">actions often </w:t>
      </w:r>
      <w:r w:rsidR="001F57C6">
        <w:rPr>
          <w:rFonts w:asciiTheme="minorHAnsi" w:hAnsiTheme="minorHAnsi" w:cstheme="minorHAnsi"/>
          <w:sz w:val="20"/>
          <w:szCs w:val="20"/>
        </w:rPr>
        <w:t xml:space="preserve">involve immense </w:t>
      </w:r>
      <w:r w:rsidR="005D4C7B">
        <w:rPr>
          <w:rFonts w:asciiTheme="minorHAnsi" w:hAnsiTheme="minorHAnsi" w:cstheme="minorHAnsi"/>
          <w:sz w:val="20"/>
          <w:szCs w:val="20"/>
        </w:rPr>
        <w:t xml:space="preserve">scale and </w:t>
      </w:r>
      <w:r w:rsidR="001F57C6">
        <w:rPr>
          <w:rFonts w:asciiTheme="minorHAnsi" w:hAnsiTheme="minorHAnsi" w:cstheme="minorHAnsi"/>
          <w:sz w:val="20"/>
          <w:szCs w:val="20"/>
        </w:rPr>
        <w:t>complexity</w:t>
      </w:r>
      <w:r w:rsidR="00243A3F" w:rsidRPr="006D26BB">
        <w:rPr>
          <w:rFonts w:asciiTheme="minorHAnsi" w:hAnsiTheme="minorHAnsi" w:cstheme="minorHAnsi"/>
          <w:sz w:val="20"/>
          <w:szCs w:val="20"/>
        </w:rPr>
        <w:t xml:space="preserve">. </w:t>
      </w:r>
      <w:r w:rsidR="005D4C7B">
        <w:rPr>
          <w:rFonts w:asciiTheme="minorHAnsi" w:hAnsiTheme="minorHAnsi" w:cstheme="minorHAnsi"/>
          <w:sz w:val="20"/>
          <w:szCs w:val="20"/>
        </w:rPr>
        <w:t>W</w:t>
      </w:r>
      <w:r w:rsidR="00243A3F" w:rsidRPr="006D26BB">
        <w:rPr>
          <w:rFonts w:asciiTheme="minorHAnsi" w:hAnsiTheme="minorHAnsi" w:cstheme="minorHAnsi"/>
          <w:sz w:val="20"/>
          <w:szCs w:val="20"/>
        </w:rPr>
        <w:t xml:space="preserve">e </w:t>
      </w:r>
      <w:r w:rsidR="001F57C6">
        <w:rPr>
          <w:rFonts w:asciiTheme="minorHAnsi" w:hAnsiTheme="minorHAnsi" w:cstheme="minorHAnsi"/>
          <w:sz w:val="20"/>
          <w:szCs w:val="20"/>
        </w:rPr>
        <w:t>have</w:t>
      </w:r>
      <w:r w:rsidR="00243A3F" w:rsidRPr="006D26BB">
        <w:rPr>
          <w:rFonts w:asciiTheme="minorHAnsi" w:hAnsiTheme="minorHAnsi" w:cstheme="minorHAnsi"/>
          <w:sz w:val="20"/>
          <w:szCs w:val="20"/>
        </w:rPr>
        <w:t xml:space="preserve"> </w:t>
      </w:r>
      <w:r w:rsidR="001F57C6">
        <w:rPr>
          <w:rFonts w:asciiTheme="minorHAnsi" w:hAnsiTheme="minorHAnsi" w:cstheme="minorHAnsi"/>
          <w:sz w:val="20"/>
          <w:szCs w:val="20"/>
        </w:rPr>
        <w:t xml:space="preserve">always had </w:t>
      </w:r>
      <w:r w:rsidR="00243A3F" w:rsidRPr="006D26BB">
        <w:rPr>
          <w:rFonts w:asciiTheme="minorHAnsi" w:hAnsiTheme="minorHAnsi" w:cstheme="minorHAnsi"/>
          <w:sz w:val="20"/>
          <w:szCs w:val="20"/>
        </w:rPr>
        <w:t>to manage</w:t>
      </w:r>
      <w:r w:rsidR="005D4C7B">
        <w:rPr>
          <w:rFonts w:asciiTheme="minorHAnsi" w:hAnsiTheme="minorHAnsi" w:cstheme="minorHAnsi"/>
          <w:sz w:val="20"/>
          <w:szCs w:val="20"/>
        </w:rPr>
        <w:t xml:space="preserve"> supply chain</w:t>
      </w:r>
      <w:r w:rsidR="00243A3F" w:rsidRPr="006D26BB">
        <w:rPr>
          <w:rFonts w:asciiTheme="minorHAnsi" w:hAnsiTheme="minorHAnsi" w:cstheme="minorHAnsi"/>
          <w:sz w:val="20"/>
          <w:szCs w:val="20"/>
        </w:rPr>
        <w:t xml:space="preserve"> </w:t>
      </w:r>
      <w:r w:rsidR="00C53B06" w:rsidRPr="006D26BB">
        <w:rPr>
          <w:rFonts w:asciiTheme="minorHAnsi" w:hAnsiTheme="minorHAnsi" w:cstheme="minorHAnsi"/>
          <w:sz w:val="20"/>
          <w:szCs w:val="20"/>
        </w:rPr>
        <w:t>intricacy</w:t>
      </w:r>
      <w:r w:rsidR="001F57C6">
        <w:rPr>
          <w:rFonts w:asciiTheme="minorHAnsi" w:hAnsiTheme="minorHAnsi" w:cstheme="minorHAnsi"/>
          <w:sz w:val="20"/>
          <w:szCs w:val="20"/>
        </w:rPr>
        <w:t xml:space="preserve"> seamlessly and efficiently</w:t>
      </w:r>
      <w:r w:rsidR="00243A3F" w:rsidRPr="006D26BB">
        <w:rPr>
          <w:rFonts w:asciiTheme="minorHAnsi" w:hAnsiTheme="minorHAnsi" w:cstheme="minorHAnsi"/>
          <w:sz w:val="20"/>
          <w:szCs w:val="20"/>
        </w:rPr>
        <w:t xml:space="preserve">. </w:t>
      </w:r>
      <w:r w:rsidR="005D4C7B" w:rsidRPr="005D4C7B">
        <w:rPr>
          <w:rFonts w:asciiTheme="minorHAnsi" w:hAnsiTheme="minorHAnsi" w:cstheme="minorHAnsi"/>
          <w:sz w:val="20"/>
          <w:szCs w:val="20"/>
        </w:rPr>
        <w:t xml:space="preserve">We are therefore working to ensure that the necessary infrastructure is in place to support </w:t>
      </w:r>
      <w:r w:rsidR="005D4C7B">
        <w:rPr>
          <w:rFonts w:asciiTheme="minorHAnsi" w:hAnsiTheme="minorHAnsi" w:cstheme="minorHAnsi"/>
          <w:sz w:val="20"/>
          <w:szCs w:val="20"/>
        </w:rPr>
        <w:t xml:space="preserve">our retail partners </w:t>
      </w:r>
      <w:r w:rsidR="005D4C7B" w:rsidRPr="005D4C7B">
        <w:rPr>
          <w:rFonts w:asciiTheme="minorHAnsi" w:hAnsiTheme="minorHAnsi" w:cstheme="minorHAnsi"/>
          <w:sz w:val="20"/>
          <w:szCs w:val="20"/>
        </w:rPr>
        <w:t>in going that extra mile, while continuing to provide them with an outstanding service.</w:t>
      </w:r>
      <w:r w:rsidR="005D4C7B">
        <w:rPr>
          <w:rFonts w:asciiTheme="minorHAnsi" w:hAnsiTheme="minorHAnsi" w:cstheme="minorHAnsi"/>
          <w:sz w:val="20"/>
          <w:szCs w:val="20"/>
        </w:rPr>
        <w:t xml:space="preserve"> B</w:t>
      </w:r>
      <w:r w:rsidR="00243A3F" w:rsidRPr="006D26BB">
        <w:rPr>
          <w:rFonts w:asciiTheme="minorHAnsi" w:hAnsiTheme="minorHAnsi" w:cstheme="minorHAnsi"/>
          <w:sz w:val="20"/>
          <w:szCs w:val="20"/>
        </w:rPr>
        <w:t>eing a</w:t>
      </w:r>
      <w:r w:rsidR="00C53B06">
        <w:rPr>
          <w:rFonts w:asciiTheme="minorHAnsi" w:hAnsiTheme="minorHAnsi" w:cstheme="minorHAnsi"/>
          <w:sz w:val="20"/>
          <w:szCs w:val="20"/>
        </w:rPr>
        <w:t>n ESG</w:t>
      </w:r>
      <w:r w:rsidR="00243A3F" w:rsidRPr="006D26BB">
        <w:rPr>
          <w:rFonts w:asciiTheme="minorHAnsi" w:hAnsiTheme="minorHAnsi" w:cstheme="minorHAnsi"/>
          <w:sz w:val="20"/>
          <w:szCs w:val="20"/>
        </w:rPr>
        <w:t xml:space="preserve"> front runner is not only the right thing to </w:t>
      </w:r>
      <w:proofErr w:type="gramStart"/>
      <w:r w:rsidR="000A00C3" w:rsidRPr="006D26BB">
        <w:rPr>
          <w:rFonts w:asciiTheme="minorHAnsi" w:hAnsiTheme="minorHAnsi" w:cstheme="minorHAnsi"/>
          <w:sz w:val="20"/>
          <w:szCs w:val="20"/>
        </w:rPr>
        <w:t>do, but</w:t>
      </w:r>
      <w:proofErr w:type="gramEnd"/>
      <w:r w:rsidR="00243A3F" w:rsidRPr="006D26BB">
        <w:rPr>
          <w:rFonts w:asciiTheme="minorHAnsi" w:hAnsiTheme="minorHAnsi" w:cstheme="minorHAnsi"/>
          <w:sz w:val="20"/>
          <w:szCs w:val="20"/>
        </w:rPr>
        <w:t xml:space="preserve"> will also enhance our competitive and commercial position. </w:t>
      </w:r>
    </w:p>
    <w:p w14:paraId="7EE4237E" w14:textId="5E3D6A20" w:rsidR="000D4CCC" w:rsidRDefault="000D4CCC" w:rsidP="00243A3F">
      <w:pPr>
        <w:spacing w:after="0" w:line="240" w:lineRule="auto"/>
        <w:jc w:val="both"/>
        <w:rPr>
          <w:rFonts w:asciiTheme="minorHAnsi" w:hAnsiTheme="minorHAnsi" w:cstheme="minorHAnsi"/>
          <w:sz w:val="20"/>
          <w:szCs w:val="20"/>
        </w:rPr>
      </w:pPr>
    </w:p>
    <w:p w14:paraId="751D327A" w14:textId="61B8B653" w:rsidR="000D4CCC" w:rsidRPr="006D26BB" w:rsidRDefault="000D4CCC" w:rsidP="00243A3F">
      <w:pPr>
        <w:spacing w:after="0" w:line="240" w:lineRule="auto"/>
        <w:jc w:val="both"/>
        <w:rPr>
          <w:rFonts w:asciiTheme="minorHAnsi" w:hAnsiTheme="minorHAnsi" w:cstheme="minorHAnsi"/>
          <w:sz w:val="20"/>
          <w:szCs w:val="20"/>
        </w:rPr>
      </w:pPr>
      <w:r w:rsidRPr="00FB63E7">
        <w:rPr>
          <w:rFonts w:asciiTheme="minorHAnsi" w:hAnsiTheme="minorHAnsi" w:cstheme="minorHAnsi"/>
          <w:sz w:val="20"/>
          <w:szCs w:val="20"/>
        </w:rPr>
        <w:t>Finally</w:t>
      </w:r>
      <w:r w:rsidR="000A00C3">
        <w:rPr>
          <w:rFonts w:asciiTheme="minorHAnsi" w:hAnsiTheme="minorHAnsi" w:cstheme="minorHAnsi"/>
          <w:sz w:val="20"/>
          <w:szCs w:val="20"/>
        </w:rPr>
        <w:t>,</w:t>
      </w:r>
      <w:r w:rsidRPr="00FB63E7">
        <w:rPr>
          <w:rFonts w:asciiTheme="minorHAnsi" w:hAnsiTheme="minorHAnsi" w:cstheme="minorHAnsi"/>
          <w:sz w:val="20"/>
          <w:szCs w:val="20"/>
        </w:rPr>
        <w:t xml:space="preserve"> we also recognise that an integral part of our </w:t>
      </w:r>
      <w:r w:rsidR="009E7467" w:rsidRPr="00FB63E7">
        <w:rPr>
          <w:rFonts w:asciiTheme="minorHAnsi" w:hAnsiTheme="minorHAnsi" w:cstheme="minorHAnsi"/>
          <w:sz w:val="20"/>
          <w:szCs w:val="20"/>
        </w:rPr>
        <w:t>long-term</w:t>
      </w:r>
      <w:r w:rsidRPr="00FB63E7">
        <w:rPr>
          <w:rFonts w:asciiTheme="minorHAnsi" w:hAnsiTheme="minorHAnsi" w:cstheme="minorHAnsi"/>
          <w:sz w:val="20"/>
          <w:szCs w:val="20"/>
        </w:rPr>
        <w:t xml:space="preserve"> sustainability is the diversification of our supply chain. Over the next phase of our business development, we will look to </w:t>
      </w:r>
      <w:r w:rsidR="009F1583" w:rsidRPr="008B47AB">
        <w:rPr>
          <w:rFonts w:asciiTheme="minorHAnsi" w:hAnsiTheme="minorHAnsi" w:cstheme="minorHAnsi"/>
          <w:sz w:val="20"/>
          <w:szCs w:val="20"/>
        </w:rPr>
        <w:t>diversify</w:t>
      </w:r>
      <w:r w:rsidRPr="00FB63E7">
        <w:rPr>
          <w:rFonts w:asciiTheme="minorHAnsi" w:hAnsiTheme="minorHAnsi" w:cstheme="minorHAnsi"/>
          <w:sz w:val="20"/>
          <w:szCs w:val="20"/>
        </w:rPr>
        <w:t xml:space="preserve"> our supply lines away from their relatively narrow geographical </w:t>
      </w:r>
      <w:r w:rsidR="009F1583" w:rsidRPr="008B47AB">
        <w:rPr>
          <w:rFonts w:asciiTheme="minorHAnsi" w:hAnsiTheme="minorHAnsi" w:cstheme="minorHAnsi"/>
          <w:sz w:val="20"/>
          <w:szCs w:val="20"/>
        </w:rPr>
        <w:t>concentration in China</w:t>
      </w:r>
      <w:r w:rsidRPr="00FB63E7">
        <w:rPr>
          <w:rFonts w:asciiTheme="minorHAnsi" w:hAnsiTheme="minorHAnsi" w:cstheme="minorHAnsi"/>
          <w:sz w:val="20"/>
          <w:szCs w:val="20"/>
        </w:rPr>
        <w:t xml:space="preserve">. As part of this </w:t>
      </w:r>
      <w:proofErr w:type="gramStart"/>
      <w:r w:rsidRPr="00FB63E7">
        <w:rPr>
          <w:rFonts w:asciiTheme="minorHAnsi" w:hAnsiTheme="minorHAnsi" w:cstheme="minorHAnsi"/>
          <w:sz w:val="20"/>
          <w:szCs w:val="20"/>
        </w:rPr>
        <w:t>journey</w:t>
      </w:r>
      <w:proofErr w:type="gramEnd"/>
      <w:r w:rsidRPr="00FB63E7">
        <w:rPr>
          <w:rFonts w:asciiTheme="minorHAnsi" w:hAnsiTheme="minorHAnsi" w:cstheme="minorHAnsi"/>
          <w:sz w:val="20"/>
          <w:szCs w:val="20"/>
        </w:rPr>
        <w:t xml:space="preserve"> we have appointed a member of our Operating Board to head up the inevitably painstaking task of sourcing new factories around the world which can meet the high standards of both the Group and its customers, but also support our key purpose of providing beautiful and more sustainable products for every home.</w:t>
      </w:r>
      <w:r>
        <w:rPr>
          <w:rFonts w:asciiTheme="minorHAnsi" w:hAnsiTheme="minorHAnsi" w:cstheme="minorHAnsi"/>
          <w:sz w:val="20"/>
          <w:szCs w:val="20"/>
        </w:rPr>
        <w:t xml:space="preserve"> </w:t>
      </w:r>
    </w:p>
    <w:p w14:paraId="1F0B129B" w14:textId="77777777" w:rsidR="00243A3F" w:rsidRPr="006D26BB" w:rsidRDefault="00243A3F" w:rsidP="00243A3F">
      <w:pPr>
        <w:spacing w:after="0" w:line="240" w:lineRule="auto"/>
        <w:jc w:val="both"/>
        <w:rPr>
          <w:rFonts w:asciiTheme="minorHAnsi" w:hAnsiTheme="minorHAnsi" w:cstheme="minorHAnsi"/>
          <w:color w:val="000000" w:themeColor="text1"/>
          <w:sz w:val="20"/>
          <w:szCs w:val="20"/>
        </w:rPr>
      </w:pPr>
    </w:p>
    <w:p w14:paraId="06D579E3" w14:textId="77777777" w:rsidR="00243A3F" w:rsidRPr="006D26BB" w:rsidRDefault="00243A3F" w:rsidP="00243A3F">
      <w:pPr>
        <w:spacing w:after="0" w:line="240" w:lineRule="auto"/>
        <w:jc w:val="both"/>
        <w:rPr>
          <w:rFonts w:asciiTheme="minorHAnsi" w:hAnsiTheme="minorHAnsi" w:cstheme="minorHAnsi"/>
          <w:b/>
          <w:bCs/>
          <w:color w:val="000000" w:themeColor="text1"/>
          <w:sz w:val="20"/>
          <w:szCs w:val="20"/>
          <w:lang w:val="en-US"/>
        </w:rPr>
      </w:pPr>
      <w:r w:rsidRPr="006D26BB">
        <w:rPr>
          <w:rFonts w:asciiTheme="minorHAnsi" w:hAnsiTheme="minorHAnsi" w:cstheme="minorHAnsi"/>
          <w:b/>
          <w:bCs/>
          <w:color w:val="000000" w:themeColor="text1"/>
          <w:sz w:val="20"/>
          <w:szCs w:val="20"/>
          <w:lang w:val="en-US"/>
        </w:rPr>
        <w:t>Robotics Process Automation</w:t>
      </w:r>
    </w:p>
    <w:p w14:paraId="46B1A812" w14:textId="6AEB2F97" w:rsidR="00243A3F" w:rsidRPr="006D26BB" w:rsidRDefault="008B72F0" w:rsidP="00243A3F">
      <w:pPr>
        <w:spacing w:after="0" w:line="240" w:lineRule="auto"/>
        <w:jc w:val="both"/>
        <w:rPr>
          <w:rFonts w:asciiTheme="minorHAnsi" w:hAnsiTheme="minorHAnsi" w:cstheme="minorHAnsi"/>
          <w:bCs/>
          <w:color w:val="000000" w:themeColor="text1"/>
          <w:sz w:val="20"/>
          <w:szCs w:val="20"/>
          <w:lang w:val="en-US"/>
        </w:rPr>
      </w:pPr>
      <w:r>
        <w:rPr>
          <w:rFonts w:asciiTheme="minorHAnsi" w:hAnsiTheme="minorHAnsi" w:cstheme="minorHAnsi"/>
          <w:bCs/>
          <w:color w:val="000000" w:themeColor="text1"/>
          <w:sz w:val="20"/>
          <w:szCs w:val="20"/>
          <w:lang w:val="en-US"/>
        </w:rPr>
        <w:t>While</w:t>
      </w:r>
      <w:r w:rsidRPr="006D26BB">
        <w:rPr>
          <w:rFonts w:asciiTheme="minorHAnsi" w:hAnsiTheme="minorHAnsi" w:cstheme="minorHAnsi"/>
          <w:bCs/>
          <w:color w:val="000000" w:themeColor="text1"/>
          <w:sz w:val="20"/>
          <w:szCs w:val="20"/>
          <w:lang w:val="en-US"/>
        </w:rPr>
        <w:t xml:space="preserve"> </w:t>
      </w:r>
      <w:r w:rsidR="00243A3F" w:rsidRPr="006D26BB">
        <w:rPr>
          <w:rFonts w:asciiTheme="minorHAnsi" w:hAnsiTheme="minorHAnsi" w:cstheme="minorHAnsi"/>
          <w:bCs/>
          <w:color w:val="000000" w:themeColor="text1"/>
          <w:sz w:val="20"/>
          <w:szCs w:val="20"/>
          <w:lang w:val="en-US"/>
        </w:rPr>
        <w:t xml:space="preserve">our </w:t>
      </w:r>
      <w:r>
        <w:rPr>
          <w:rFonts w:asciiTheme="minorHAnsi" w:hAnsiTheme="minorHAnsi" w:cstheme="minorHAnsi"/>
          <w:bCs/>
          <w:color w:val="000000" w:themeColor="text1"/>
          <w:sz w:val="20"/>
          <w:szCs w:val="20"/>
          <w:lang w:val="en-US"/>
        </w:rPr>
        <w:t>purpose</w:t>
      </w:r>
      <w:r w:rsidRPr="006D26BB">
        <w:rPr>
          <w:rFonts w:asciiTheme="minorHAnsi" w:hAnsiTheme="minorHAnsi" w:cstheme="minorHAnsi"/>
          <w:bCs/>
          <w:color w:val="000000" w:themeColor="text1"/>
          <w:sz w:val="20"/>
          <w:szCs w:val="20"/>
          <w:lang w:val="en-US"/>
        </w:rPr>
        <w:t xml:space="preserve"> </w:t>
      </w:r>
      <w:r w:rsidR="00243A3F" w:rsidRPr="006D26BB">
        <w:rPr>
          <w:rFonts w:asciiTheme="minorHAnsi" w:hAnsiTheme="minorHAnsi" w:cstheme="minorHAnsi"/>
          <w:bCs/>
          <w:color w:val="000000" w:themeColor="text1"/>
          <w:sz w:val="20"/>
          <w:szCs w:val="20"/>
          <w:lang w:val="en-US"/>
        </w:rPr>
        <w:t xml:space="preserve">is to provide beautiful and more sustainable products for every home, </w:t>
      </w:r>
      <w:r w:rsidR="007B6763">
        <w:rPr>
          <w:rFonts w:asciiTheme="minorHAnsi" w:hAnsiTheme="minorHAnsi" w:cstheme="minorHAnsi"/>
          <w:bCs/>
          <w:color w:val="000000" w:themeColor="text1"/>
          <w:sz w:val="20"/>
          <w:szCs w:val="20"/>
          <w:lang w:val="en-US"/>
        </w:rPr>
        <w:t>a</w:t>
      </w:r>
      <w:r w:rsidR="00243A3F" w:rsidRPr="006D26BB">
        <w:rPr>
          <w:rFonts w:asciiTheme="minorHAnsi" w:hAnsiTheme="minorHAnsi" w:cstheme="minorHAnsi"/>
          <w:bCs/>
          <w:color w:val="000000" w:themeColor="text1"/>
          <w:sz w:val="20"/>
          <w:szCs w:val="20"/>
          <w:lang w:val="en-US"/>
        </w:rPr>
        <w:t xml:space="preserve"> key</w:t>
      </w:r>
      <w:r w:rsidR="007B6763">
        <w:rPr>
          <w:rFonts w:asciiTheme="minorHAnsi" w:hAnsiTheme="minorHAnsi" w:cstheme="minorHAnsi"/>
          <w:bCs/>
          <w:color w:val="000000" w:themeColor="text1"/>
          <w:sz w:val="20"/>
          <w:szCs w:val="20"/>
          <w:lang w:val="en-US"/>
        </w:rPr>
        <w:t xml:space="preserve"> contributor</w:t>
      </w:r>
      <w:r w:rsidR="00243A3F" w:rsidRPr="006D26BB">
        <w:rPr>
          <w:rFonts w:asciiTheme="minorHAnsi" w:hAnsiTheme="minorHAnsi" w:cstheme="minorHAnsi"/>
          <w:bCs/>
          <w:color w:val="000000" w:themeColor="text1"/>
          <w:sz w:val="20"/>
          <w:szCs w:val="20"/>
          <w:lang w:val="en-US"/>
        </w:rPr>
        <w:t xml:space="preserve"> to our success has been </w:t>
      </w:r>
      <w:r>
        <w:rPr>
          <w:rFonts w:asciiTheme="minorHAnsi" w:hAnsiTheme="minorHAnsi" w:cstheme="minorHAnsi"/>
          <w:bCs/>
          <w:color w:val="000000" w:themeColor="text1"/>
          <w:sz w:val="20"/>
          <w:szCs w:val="20"/>
          <w:lang w:val="en-US"/>
        </w:rPr>
        <w:t xml:space="preserve">consistently </w:t>
      </w:r>
      <w:r w:rsidR="00243A3F" w:rsidRPr="006D26BB">
        <w:rPr>
          <w:rFonts w:asciiTheme="minorHAnsi" w:hAnsiTheme="minorHAnsi" w:cstheme="minorHAnsi"/>
          <w:bCs/>
          <w:color w:val="000000" w:themeColor="text1"/>
          <w:sz w:val="20"/>
          <w:szCs w:val="20"/>
          <w:lang w:val="en-US"/>
        </w:rPr>
        <w:t>provid</w:t>
      </w:r>
      <w:r w:rsidR="007B6763">
        <w:rPr>
          <w:rFonts w:asciiTheme="minorHAnsi" w:hAnsiTheme="minorHAnsi" w:cstheme="minorHAnsi"/>
          <w:bCs/>
          <w:color w:val="000000" w:themeColor="text1"/>
          <w:sz w:val="20"/>
          <w:szCs w:val="20"/>
          <w:lang w:val="en-US"/>
        </w:rPr>
        <w:t>ing</w:t>
      </w:r>
      <w:r w:rsidR="00243A3F" w:rsidRPr="006D26BB">
        <w:rPr>
          <w:rFonts w:asciiTheme="minorHAnsi" w:hAnsiTheme="minorHAnsi" w:cstheme="minorHAnsi"/>
          <w:bCs/>
          <w:color w:val="000000" w:themeColor="text1"/>
          <w:sz w:val="20"/>
          <w:szCs w:val="20"/>
          <w:lang w:val="en-US"/>
        </w:rPr>
        <w:t xml:space="preserve"> the best service to our customers. Whether this is through </w:t>
      </w:r>
      <w:r w:rsidR="007B6763">
        <w:rPr>
          <w:rFonts w:asciiTheme="minorHAnsi" w:hAnsiTheme="minorHAnsi" w:cstheme="minorHAnsi"/>
          <w:bCs/>
          <w:color w:val="000000" w:themeColor="text1"/>
          <w:sz w:val="20"/>
          <w:szCs w:val="20"/>
          <w:lang w:val="en-US"/>
        </w:rPr>
        <w:t>mitigating</w:t>
      </w:r>
      <w:r w:rsidR="00243A3F" w:rsidRPr="006D26BB">
        <w:rPr>
          <w:rFonts w:asciiTheme="minorHAnsi" w:hAnsiTheme="minorHAnsi" w:cstheme="minorHAnsi"/>
          <w:bCs/>
          <w:color w:val="000000" w:themeColor="text1"/>
          <w:sz w:val="20"/>
          <w:szCs w:val="20"/>
          <w:lang w:val="en-US"/>
        </w:rPr>
        <w:t xml:space="preserve"> supply chain disruption by ensuring that their orders </w:t>
      </w:r>
      <w:r>
        <w:rPr>
          <w:rFonts w:asciiTheme="minorHAnsi" w:hAnsiTheme="minorHAnsi" w:cstheme="minorHAnsi"/>
          <w:bCs/>
          <w:color w:val="000000" w:themeColor="text1"/>
          <w:sz w:val="20"/>
          <w:szCs w:val="20"/>
          <w:lang w:val="en-US"/>
        </w:rPr>
        <w:t>are</w:t>
      </w:r>
      <w:r w:rsidR="00243A3F" w:rsidRPr="006D26BB">
        <w:rPr>
          <w:rFonts w:asciiTheme="minorHAnsi" w:hAnsiTheme="minorHAnsi" w:cstheme="minorHAnsi"/>
          <w:bCs/>
          <w:color w:val="000000" w:themeColor="text1"/>
          <w:sz w:val="20"/>
          <w:szCs w:val="20"/>
          <w:lang w:val="en-US"/>
        </w:rPr>
        <w:t xml:space="preserve"> </w:t>
      </w:r>
      <w:proofErr w:type="spellStart"/>
      <w:r w:rsidR="00140716" w:rsidRPr="006D26BB">
        <w:rPr>
          <w:rFonts w:asciiTheme="minorHAnsi" w:hAnsiTheme="minorHAnsi" w:cstheme="minorHAnsi"/>
          <w:bCs/>
          <w:color w:val="000000" w:themeColor="text1"/>
          <w:sz w:val="20"/>
          <w:szCs w:val="20"/>
          <w:lang w:val="en-US"/>
        </w:rPr>
        <w:t>prioriti</w:t>
      </w:r>
      <w:r w:rsidR="00140716">
        <w:rPr>
          <w:rFonts w:asciiTheme="minorHAnsi" w:hAnsiTheme="minorHAnsi" w:cstheme="minorHAnsi"/>
          <w:bCs/>
          <w:color w:val="000000" w:themeColor="text1"/>
          <w:sz w:val="20"/>
          <w:szCs w:val="20"/>
          <w:lang w:val="en-US"/>
        </w:rPr>
        <w:t>s</w:t>
      </w:r>
      <w:r w:rsidR="00140716" w:rsidRPr="006D26BB">
        <w:rPr>
          <w:rFonts w:asciiTheme="minorHAnsi" w:hAnsiTheme="minorHAnsi" w:cstheme="minorHAnsi"/>
          <w:bCs/>
          <w:color w:val="000000" w:themeColor="text1"/>
          <w:sz w:val="20"/>
          <w:szCs w:val="20"/>
          <w:lang w:val="en-US"/>
        </w:rPr>
        <w:t>ed</w:t>
      </w:r>
      <w:proofErr w:type="spellEnd"/>
      <w:r w:rsidR="00243A3F" w:rsidRPr="006D26BB">
        <w:rPr>
          <w:rFonts w:asciiTheme="minorHAnsi" w:hAnsiTheme="minorHAnsi" w:cstheme="minorHAnsi"/>
          <w:bCs/>
          <w:color w:val="000000" w:themeColor="text1"/>
          <w:sz w:val="20"/>
          <w:szCs w:val="20"/>
          <w:lang w:val="en-US"/>
        </w:rPr>
        <w:t xml:space="preserve">, or through helping them achieve their ESG ambitions, we </w:t>
      </w:r>
      <w:r>
        <w:rPr>
          <w:rFonts w:asciiTheme="minorHAnsi" w:hAnsiTheme="minorHAnsi" w:cstheme="minorHAnsi"/>
          <w:bCs/>
          <w:color w:val="000000" w:themeColor="text1"/>
          <w:sz w:val="20"/>
          <w:szCs w:val="20"/>
          <w:lang w:val="en-US"/>
        </w:rPr>
        <w:t xml:space="preserve">insist on </w:t>
      </w:r>
      <w:r w:rsidR="00243A3F" w:rsidRPr="006D26BB">
        <w:rPr>
          <w:rFonts w:asciiTheme="minorHAnsi" w:hAnsiTheme="minorHAnsi" w:cstheme="minorHAnsi"/>
          <w:bCs/>
          <w:color w:val="000000" w:themeColor="text1"/>
          <w:sz w:val="20"/>
          <w:szCs w:val="20"/>
          <w:lang w:val="en-US"/>
        </w:rPr>
        <w:t>go</w:t>
      </w:r>
      <w:r>
        <w:rPr>
          <w:rFonts w:asciiTheme="minorHAnsi" w:hAnsiTheme="minorHAnsi" w:cstheme="minorHAnsi"/>
          <w:bCs/>
          <w:color w:val="000000" w:themeColor="text1"/>
          <w:sz w:val="20"/>
          <w:szCs w:val="20"/>
          <w:lang w:val="en-US"/>
        </w:rPr>
        <w:t>ing</w:t>
      </w:r>
      <w:r w:rsidR="00243A3F" w:rsidRPr="006D26BB">
        <w:rPr>
          <w:rFonts w:asciiTheme="minorHAnsi" w:hAnsiTheme="minorHAnsi" w:cstheme="minorHAnsi"/>
          <w:bCs/>
          <w:color w:val="000000" w:themeColor="text1"/>
          <w:sz w:val="20"/>
          <w:szCs w:val="20"/>
          <w:lang w:val="en-US"/>
        </w:rPr>
        <w:t xml:space="preserve"> the extra mile for our retail customers. </w:t>
      </w:r>
      <w:r>
        <w:rPr>
          <w:rFonts w:asciiTheme="minorHAnsi" w:hAnsiTheme="minorHAnsi" w:cstheme="minorHAnsi"/>
          <w:bCs/>
          <w:color w:val="000000" w:themeColor="text1"/>
          <w:sz w:val="20"/>
          <w:szCs w:val="20"/>
          <w:lang w:val="en-US"/>
        </w:rPr>
        <w:t xml:space="preserve">Owing to </w:t>
      </w:r>
      <w:r w:rsidR="007B6763">
        <w:rPr>
          <w:rFonts w:asciiTheme="minorHAnsi" w:hAnsiTheme="minorHAnsi" w:cstheme="minorHAnsi"/>
          <w:bCs/>
          <w:color w:val="000000" w:themeColor="text1"/>
          <w:sz w:val="20"/>
          <w:szCs w:val="20"/>
          <w:lang w:val="en-US"/>
        </w:rPr>
        <w:t xml:space="preserve">the level of </w:t>
      </w:r>
      <w:r>
        <w:rPr>
          <w:rFonts w:asciiTheme="minorHAnsi" w:hAnsiTheme="minorHAnsi" w:cstheme="minorHAnsi"/>
          <w:bCs/>
          <w:color w:val="000000" w:themeColor="text1"/>
          <w:sz w:val="20"/>
          <w:szCs w:val="20"/>
          <w:lang w:val="en-US"/>
        </w:rPr>
        <w:t>complexity</w:t>
      </w:r>
      <w:r w:rsidR="007B6763">
        <w:rPr>
          <w:rFonts w:asciiTheme="minorHAnsi" w:hAnsiTheme="minorHAnsi" w:cstheme="minorHAnsi"/>
          <w:bCs/>
          <w:color w:val="000000" w:themeColor="text1"/>
          <w:sz w:val="20"/>
          <w:szCs w:val="20"/>
          <w:lang w:val="en-US"/>
        </w:rPr>
        <w:t xml:space="preserve"> involved</w:t>
      </w:r>
      <w:r>
        <w:rPr>
          <w:rFonts w:asciiTheme="minorHAnsi" w:hAnsiTheme="minorHAnsi" w:cstheme="minorHAnsi"/>
          <w:bCs/>
          <w:color w:val="000000" w:themeColor="text1"/>
          <w:sz w:val="20"/>
          <w:szCs w:val="20"/>
          <w:lang w:val="en-US"/>
        </w:rPr>
        <w:t>, o</w:t>
      </w:r>
      <w:r w:rsidR="00243A3F" w:rsidRPr="006D26BB">
        <w:rPr>
          <w:rFonts w:asciiTheme="minorHAnsi" w:hAnsiTheme="minorHAnsi" w:cstheme="minorHAnsi"/>
          <w:bCs/>
          <w:color w:val="000000" w:themeColor="text1"/>
          <w:sz w:val="20"/>
          <w:szCs w:val="20"/>
          <w:lang w:val="en-US"/>
        </w:rPr>
        <w:t xml:space="preserve">ur position in the supply chain is </w:t>
      </w:r>
      <w:r w:rsidR="00A6007D">
        <w:rPr>
          <w:rFonts w:asciiTheme="minorHAnsi" w:hAnsiTheme="minorHAnsi" w:cstheme="minorHAnsi"/>
          <w:bCs/>
          <w:color w:val="000000" w:themeColor="text1"/>
          <w:sz w:val="20"/>
          <w:szCs w:val="20"/>
          <w:lang w:val="en-US"/>
        </w:rPr>
        <w:t>not easily replicated</w:t>
      </w:r>
      <w:r w:rsidR="00243A3F" w:rsidRPr="006D26BB">
        <w:rPr>
          <w:rFonts w:asciiTheme="minorHAnsi" w:hAnsiTheme="minorHAnsi" w:cstheme="minorHAnsi"/>
          <w:bCs/>
          <w:color w:val="000000" w:themeColor="text1"/>
          <w:sz w:val="20"/>
          <w:szCs w:val="20"/>
          <w:lang w:val="en-US"/>
        </w:rPr>
        <w:t xml:space="preserve">, and this represents a significant barrier to entry. </w:t>
      </w:r>
      <w:r w:rsidR="00A6007D">
        <w:rPr>
          <w:rFonts w:asciiTheme="minorHAnsi" w:hAnsiTheme="minorHAnsi" w:cstheme="minorHAnsi"/>
          <w:bCs/>
          <w:color w:val="000000" w:themeColor="text1"/>
          <w:sz w:val="20"/>
          <w:szCs w:val="20"/>
          <w:lang w:val="en-US"/>
        </w:rPr>
        <w:t xml:space="preserve">We </w:t>
      </w:r>
      <w:r w:rsidR="0017327B">
        <w:rPr>
          <w:rFonts w:asciiTheme="minorHAnsi" w:hAnsiTheme="minorHAnsi" w:cstheme="minorHAnsi"/>
          <w:bCs/>
          <w:color w:val="000000" w:themeColor="text1"/>
          <w:sz w:val="20"/>
          <w:szCs w:val="20"/>
          <w:lang w:val="en-US"/>
        </w:rPr>
        <w:t>are relentless</w:t>
      </w:r>
      <w:r w:rsidR="00A6007D">
        <w:rPr>
          <w:rFonts w:asciiTheme="minorHAnsi" w:hAnsiTheme="minorHAnsi" w:cstheme="minorHAnsi"/>
          <w:bCs/>
          <w:color w:val="000000" w:themeColor="text1"/>
          <w:sz w:val="20"/>
          <w:szCs w:val="20"/>
          <w:lang w:val="en-US"/>
        </w:rPr>
        <w:t xml:space="preserve"> in</w:t>
      </w:r>
      <w:r w:rsidR="00243A3F" w:rsidRPr="006D26BB">
        <w:rPr>
          <w:rFonts w:asciiTheme="minorHAnsi" w:hAnsiTheme="minorHAnsi" w:cstheme="minorHAnsi"/>
          <w:bCs/>
          <w:color w:val="000000" w:themeColor="text1"/>
          <w:sz w:val="20"/>
          <w:szCs w:val="20"/>
          <w:lang w:val="en-US"/>
        </w:rPr>
        <w:t xml:space="preserve"> developing our systems</w:t>
      </w:r>
      <w:r w:rsidR="00A6007D">
        <w:rPr>
          <w:rFonts w:asciiTheme="minorHAnsi" w:hAnsiTheme="minorHAnsi" w:cstheme="minorHAnsi"/>
          <w:bCs/>
          <w:color w:val="000000" w:themeColor="text1"/>
          <w:sz w:val="20"/>
          <w:szCs w:val="20"/>
          <w:lang w:val="en-US"/>
        </w:rPr>
        <w:t xml:space="preserve"> and, in recent years, have established</w:t>
      </w:r>
      <w:r w:rsidR="00243A3F" w:rsidRPr="006D26BB">
        <w:rPr>
          <w:rFonts w:asciiTheme="minorHAnsi" w:hAnsiTheme="minorHAnsi" w:cstheme="minorHAnsi"/>
          <w:bCs/>
          <w:color w:val="000000" w:themeColor="text1"/>
          <w:sz w:val="20"/>
          <w:szCs w:val="20"/>
          <w:lang w:val="en-US"/>
        </w:rPr>
        <w:t xml:space="preserve"> a</w:t>
      </w:r>
      <w:r w:rsidR="00A6007D">
        <w:rPr>
          <w:rFonts w:asciiTheme="minorHAnsi" w:hAnsiTheme="minorHAnsi" w:cstheme="minorHAnsi"/>
          <w:bCs/>
          <w:color w:val="000000" w:themeColor="text1"/>
          <w:sz w:val="20"/>
          <w:szCs w:val="20"/>
          <w:lang w:val="en-US"/>
        </w:rPr>
        <w:t>n intense company</w:t>
      </w:r>
      <w:r w:rsidR="00243A3F" w:rsidRPr="006D26BB">
        <w:rPr>
          <w:rFonts w:asciiTheme="minorHAnsi" w:hAnsiTheme="minorHAnsi" w:cstheme="minorHAnsi"/>
          <w:bCs/>
          <w:color w:val="000000" w:themeColor="text1"/>
          <w:sz w:val="20"/>
          <w:szCs w:val="20"/>
          <w:lang w:val="en-US"/>
        </w:rPr>
        <w:t xml:space="preserve"> focus on driving productivity </w:t>
      </w:r>
      <w:r w:rsidR="00A6007D">
        <w:rPr>
          <w:rFonts w:asciiTheme="minorHAnsi" w:hAnsiTheme="minorHAnsi" w:cstheme="minorHAnsi"/>
          <w:bCs/>
          <w:color w:val="000000" w:themeColor="text1"/>
          <w:sz w:val="20"/>
          <w:szCs w:val="20"/>
          <w:lang w:val="en-US"/>
        </w:rPr>
        <w:t xml:space="preserve">through </w:t>
      </w:r>
      <w:r w:rsidR="00243A3F" w:rsidRPr="006D26BB">
        <w:rPr>
          <w:rFonts w:asciiTheme="minorHAnsi" w:hAnsiTheme="minorHAnsi" w:cstheme="minorHAnsi"/>
          <w:bCs/>
          <w:color w:val="000000" w:themeColor="text1"/>
          <w:sz w:val="20"/>
          <w:szCs w:val="20"/>
          <w:lang w:val="en-US"/>
        </w:rPr>
        <w:t xml:space="preserve">automation. During the current year we have embarked on the automation of hundreds of tasks within the business. This </w:t>
      </w:r>
      <w:r w:rsidR="00A6007D">
        <w:rPr>
          <w:rFonts w:asciiTheme="minorHAnsi" w:hAnsiTheme="minorHAnsi" w:cstheme="minorHAnsi"/>
          <w:bCs/>
          <w:color w:val="000000" w:themeColor="text1"/>
          <w:sz w:val="20"/>
          <w:szCs w:val="20"/>
          <w:lang w:val="en-US"/>
        </w:rPr>
        <w:t>is best</w:t>
      </w:r>
      <w:r w:rsidR="00243A3F" w:rsidRPr="006D26BB">
        <w:rPr>
          <w:rFonts w:asciiTheme="minorHAnsi" w:hAnsiTheme="minorHAnsi" w:cstheme="minorHAnsi"/>
          <w:bCs/>
          <w:color w:val="000000" w:themeColor="text1"/>
          <w:sz w:val="20"/>
          <w:szCs w:val="20"/>
          <w:lang w:val="en-US"/>
        </w:rPr>
        <w:t xml:space="preserve"> </w:t>
      </w:r>
      <w:proofErr w:type="spellStart"/>
      <w:r w:rsidR="00C53B06" w:rsidRPr="006D26BB">
        <w:rPr>
          <w:rFonts w:asciiTheme="minorHAnsi" w:hAnsiTheme="minorHAnsi" w:cstheme="minorHAnsi"/>
          <w:bCs/>
          <w:color w:val="000000" w:themeColor="text1"/>
          <w:sz w:val="20"/>
          <w:szCs w:val="20"/>
          <w:lang w:val="en-US"/>
        </w:rPr>
        <w:t>chara</w:t>
      </w:r>
      <w:r w:rsidR="00C53B06">
        <w:rPr>
          <w:rFonts w:asciiTheme="minorHAnsi" w:hAnsiTheme="minorHAnsi" w:cstheme="minorHAnsi"/>
          <w:bCs/>
          <w:color w:val="000000" w:themeColor="text1"/>
          <w:sz w:val="20"/>
          <w:szCs w:val="20"/>
          <w:lang w:val="en-US"/>
        </w:rPr>
        <w:t>c</w:t>
      </w:r>
      <w:r w:rsidR="00C53B06" w:rsidRPr="006D26BB">
        <w:rPr>
          <w:rFonts w:asciiTheme="minorHAnsi" w:hAnsiTheme="minorHAnsi" w:cstheme="minorHAnsi"/>
          <w:bCs/>
          <w:color w:val="000000" w:themeColor="text1"/>
          <w:sz w:val="20"/>
          <w:szCs w:val="20"/>
          <w:lang w:val="en-US"/>
        </w:rPr>
        <w:t>teri</w:t>
      </w:r>
      <w:r w:rsidR="00C53B06">
        <w:rPr>
          <w:rFonts w:asciiTheme="minorHAnsi" w:hAnsiTheme="minorHAnsi" w:cstheme="minorHAnsi"/>
          <w:bCs/>
          <w:color w:val="000000" w:themeColor="text1"/>
          <w:sz w:val="20"/>
          <w:szCs w:val="20"/>
          <w:lang w:val="en-US"/>
        </w:rPr>
        <w:t>s</w:t>
      </w:r>
      <w:r w:rsidR="00C53B06" w:rsidRPr="006D26BB">
        <w:rPr>
          <w:rFonts w:asciiTheme="minorHAnsi" w:hAnsiTheme="minorHAnsi" w:cstheme="minorHAnsi"/>
          <w:bCs/>
          <w:color w:val="000000" w:themeColor="text1"/>
          <w:sz w:val="20"/>
          <w:szCs w:val="20"/>
          <w:lang w:val="en-US"/>
        </w:rPr>
        <w:t>ed</w:t>
      </w:r>
      <w:proofErr w:type="spellEnd"/>
      <w:r w:rsidR="00243A3F" w:rsidRPr="006D26BB">
        <w:rPr>
          <w:rFonts w:asciiTheme="minorHAnsi" w:hAnsiTheme="minorHAnsi" w:cstheme="minorHAnsi"/>
          <w:bCs/>
          <w:color w:val="000000" w:themeColor="text1"/>
          <w:sz w:val="20"/>
          <w:szCs w:val="20"/>
          <w:lang w:val="en-US"/>
        </w:rPr>
        <w:t xml:space="preserve"> </w:t>
      </w:r>
      <w:r w:rsidR="00C53B06">
        <w:rPr>
          <w:rFonts w:asciiTheme="minorHAnsi" w:hAnsiTheme="minorHAnsi" w:cstheme="minorHAnsi"/>
          <w:bCs/>
          <w:color w:val="000000" w:themeColor="text1"/>
          <w:sz w:val="20"/>
          <w:szCs w:val="20"/>
          <w:lang w:val="en-US"/>
        </w:rPr>
        <w:t>as</w:t>
      </w:r>
      <w:r w:rsidR="00243A3F" w:rsidRPr="006D26BB">
        <w:rPr>
          <w:rFonts w:asciiTheme="minorHAnsi" w:hAnsiTheme="minorHAnsi" w:cstheme="minorHAnsi"/>
          <w:bCs/>
          <w:color w:val="000000" w:themeColor="text1"/>
          <w:sz w:val="20"/>
          <w:szCs w:val="20"/>
          <w:lang w:val="en-US"/>
        </w:rPr>
        <w:t xml:space="preserve"> a bottom-up approach by which our teams </w:t>
      </w:r>
      <w:r w:rsidR="00A6007D">
        <w:rPr>
          <w:rFonts w:asciiTheme="minorHAnsi" w:hAnsiTheme="minorHAnsi" w:cstheme="minorHAnsi"/>
          <w:bCs/>
          <w:color w:val="000000" w:themeColor="text1"/>
          <w:sz w:val="20"/>
          <w:szCs w:val="20"/>
          <w:lang w:val="en-US"/>
        </w:rPr>
        <w:t>will</w:t>
      </w:r>
      <w:r w:rsidR="00A6007D" w:rsidRPr="006D26BB">
        <w:rPr>
          <w:rFonts w:asciiTheme="minorHAnsi" w:hAnsiTheme="minorHAnsi" w:cstheme="minorHAnsi"/>
          <w:bCs/>
          <w:color w:val="000000" w:themeColor="text1"/>
          <w:sz w:val="20"/>
          <w:szCs w:val="20"/>
          <w:lang w:val="en-US"/>
        </w:rPr>
        <w:t xml:space="preserve"> </w:t>
      </w:r>
      <w:r w:rsidR="00243A3F" w:rsidRPr="006D26BB">
        <w:rPr>
          <w:rFonts w:asciiTheme="minorHAnsi" w:hAnsiTheme="minorHAnsi" w:cstheme="minorHAnsi"/>
          <w:bCs/>
          <w:color w:val="000000" w:themeColor="text1"/>
          <w:sz w:val="20"/>
          <w:szCs w:val="20"/>
          <w:lang w:val="en-US"/>
        </w:rPr>
        <w:t xml:space="preserve">come to us with problems, which our process development team </w:t>
      </w:r>
      <w:r w:rsidR="00A6007D">
        <w:rPr>
          <w:rFonts w:asciiTheme="minorHAnsi" w:hAnsiTheme="minorHAnsi" w:cstheme="minorHAnsi"/>
          <w:bCs/>
          <w:color w:val="000000" w:themeColor="text1"/>
          <w:sz w:val="20"/>
          <w:szCs w:val="20"/>
          <w:lang w:val="en-US"/>
        </w:rPr>
        <w:t>will</w:t>
      </w:r>
      <w:r w:rsidR="00A6007D" w:rsidRPr="006D26BB">
        <w:rPr>
          <w:rFonts w:asciiTheme="minorHAnsi" w:hAnsiTheme="minorHAnsi" w:cstheme="minorHAnsi"/>
          <w:bCs/>
          <w:color w:val="000000" w:themeColor="text1"/>
          <w:sz w:val="20"/>
          <w:szCs w:val="20"/>
          <w:lang w:val="en-US"/>
        </w:rPr>
        <w:t xml:space="preserve"> </w:t>
      </w:r>
      <w:r w:rsidR="00A6007D">
        <w:rPr>
          <w:rFonts w:asciiTheme="minorHAnsi" w:hAnsiTheme="minorHAnsi" w:cstheme="minorHAnsi"/>
          <w:bCs/>
          <w:color w:val="000000" w:themeColor="text1"/>
          <w:sz w:val="20"/>
          <w:szCs w:val="20"/>
          <w:lang w:val="en-US"/>
        </w:rPr>
        <w:t xml:space="preserve">then </w:t>
      </w:r>
      <w:r w:rsidR="00243A3F" w:rsidRPr="006D26BB">
        <w:rPr>
          <w:rFonts w:asciiTheme="minorHAnsi" w:hAnsiTheme="minorHAnsi" w:cstheme="minorHAnsi"/>
          <w:bCs/>
          <w:color w:val="000000" w:themeColor="text1"/>
          <w:sz w:val="20"/>
          <w:szCs w:val="20"/>
          <w:lang w:val="en-US"/>
        </w:rPr>
        <w:t xml:space="preserve">solve. This demand-driven approach has allowed us to concentrate </w:t>
      </w:r>
      <w:r w:rsidR="007B6763">
        <w:rPr>
          <w:rFonts w:asciiTheme="minorHAnsi" w:hAnsiTheme="minorHAnsi" w:cstheme="minorHAnsi"/>
          <w:bCs/>
          <w:color w:val="000000" w:themeColor="text1"/>
          <w:sz w:val="20"/>
          <w:szCs w:val="20"/>
          <w:lang w:val="en-US"/>
        </w:rPr>
        <w:t xml:space="preserve">our </w:t>
      </w:r>
      <w:r w:rsidR="00243A3F" w:rsidRPr="006D26BB">
        <w:rPr>
          <w:rFonts w:asciiTheme="minorHAnsi" w:hAnsiTheme="minorHAnsi" w:cstheme="minorHAnsi"/>
          <w:bCs/>
          <w:color w:val="000000" w:themeColor="text1"/>
          <w:sz w:val="20"/>
          <w:szCs w:val="20"/>
          <w:lang w:val="en-US"/>
        </w:rPr>
        <w:t xml:space="preserve">efforts on the tasks </w:t>
      </w:r>
      <w:r w:rsidR="007B6763">
        <w:rPr>
          <w:rFonts w:asciiTheme="minorHAnsi" w:hAnsiTheme="minorHAnsi" w:cstheme="minorHAnsi"/>
          <w:bCs/>
          <w:color w:val="000000" w:themeColor="text1"/>
          <w:sz w:val="20"/>
          <w:szCs w:val="20"/>
          <w:lang w:val="en-US"/>
        </w:rPr>
        <w:t xml:space="preserve">that </w:t>
      </w:r>
      <w:r w:rsidR="00243A3F" w:rsidRPr="006D26BB">
        <w:rPr>
          <w:rFonts w:asciiTheme="minorHAnsi" w:hAnsiTheme="minorHAnsi" w:cstheme="minorHAnsi"/>
          <w:bCs/>
          <w:color w:val="000000" w:themeColor="text1"/>
          <w:sz w:val="20"/>
          <w:szCs w:val="20"/>
          <w:lang w:val="en-US"/>
        </w:rPr>
        <w:t xml:space="preserve">cause </w:t>
      </w:r>
      <w:r w:rsidR="007B6763">
        <w:rPr>
          <w:rFonts w:asciiTheme="minorHAnsi" w:hAnsiTheme="minorHAnsi" w:cstheme="minorHAnsi"/>
          <w:bCs/>
          <w:color w:val="000000" w:themeColor="text1"/>
          <w:sz w:val="20"/>
          <w:szCs w:val="20"/>
          <w:lang w:val="en-US"/>
        </w:rPr>
        <w:t xml:space="preserve">the </w:t>
      </w:r>
      <w:r w:rsidR="00243A3F" w:rsidRPr="006D26BB">
        <w:rPr>
          <w:rFonts w:asciiTheme="minorHAnsi" w:hAnsiTheme="minorHAnsi" w:cstheme="minorHAnsi"/>
          <w:bCs/>
          <w:color w:val="000000" w:themeColor="text1"/>
          <w:sz w:val="20"/>
          <w:szCs w:val="20"/>
          <w:lang w:val="en-US"/>
        </w:rPr>
        <w:t xml:space="preserve">most friction within our business. Solving them </w:t>
      </w:r>
      <w:r w:rsidR="00A6007D">
        <w:rPr>
          <w:rFonts w:asciiTheme="minorHAnsi" w:hAnsiTheme="minorHAnsi" w:cstheme="minorHAnsi"/>
          <w:bCs/>
          <w:color w:val="000000" w:themeColor="text1"/>
          <w:sz w:val="20"/>
          <w:szCs w:val="20"/>
          <w:lang w:val="en-US"/>
        </w:rPr>
        <w:t xml:space="preserve">with automation </w:t>
      </w:r>
      <w:r w:rsidR="00243A3F" w:rsidRPr="006D26BB">
        <w:rPr>
          <w:rFonts w:asciiTheme="minorHAnsi" w:hAnsiTheme="minorHAnsi" w:cstheme="minorHAnsi"/>
          <w:bCs/>
          <w:color w:val="000000" w:themeColor="text1"/>
          <w:sz w:val="20"/>
          <w:szCs w:val="20"/>
          <w:lang w:val="en-US"/>
        </w:rPr>
        <w:t>increases productivity and improve</w:t>
      </w:r>
      <w:r w:rsidR="00A6007D">
        <w:rPr>
          <w:rFonts w:asciiTheme="minorHAnsi" w:hAnsiTheme="minorHAnsi" w:cstheme="minorHAnsi"/>
          <w:bCs/>
          <w:color w:val="000000" w:themeColor="text1"/>
          <w:sz w:val="20"/>
          <w:szCs w:val="20"/>
          <w:lang w:val="en-US"/>
        </w:rPr>
        <w:t>s</w:t>
      </w:r>
      <w:r w:rsidR="00243A3F" w:rsidRPr="006D26BB">
        <w:rPr>
          <w:rFonts w:asciiTheme="minorHAnsi" w:hAnsiTheme="minorHAnsi" w:cstheme="minorHAnsi"/>
          <w:bCs/>
          <w:color w:val="000000" w:themeColor="text1"/>
          <w:sz w:val="20"/>
          <w:szCs w:val="20"/>
          <w:lang w:val="en-US"/>
        </w:rPr>
        <w:t xml:space="preserve"> accuracy</w:t>
      </w:r>
      <w:r w:rsidR="00A6007D">
        <w:rPr>
          <w:rFonts w:asciiTheme="minorHAnsi" w:hAnsiTheme="minorHAnsi" w:cstheme="minorHAnsi"/>
          <w:bCs/>
          <w:color w:val="000000" w:themeColor="text1"/>
          <w:sz w:val="20"/>
          <w:szCs w:val="20"/>
          <w:lang w:val="en-US"/>
        </w:rPr>
        <w:t>,</w:t>
      </w:r>
      <w:r w:rsidR="00243A3F" w:rsidRPr="006D26BB">
        <w:rPr>
          <w:rFonts w:asciiTheme="minorHAnsi" w:hAnsiTheme="minorHAnsi" w:cstheme="minorHAnsi"/>
          <w:bCs/>
          <w:color w:val="000000" w:themeColor="text1"/>
          <w:sz w:val="20"/>
          <w:szCs w:val="20"/>
          <w:lang w:val="en-US"/>
        </w:rPr>
        <w:t xml:space="preserve"> resulting in enhanced operating margins, </w:t>
      </w:r>
      <w:proofErr w:type="gramStart"/>
      <w:r w:rsidR="00243A3F" w:rsidRPr="006D26BB">
        <w:rPr>
          <w:rFonts w:asciiTheme="minorHAnsi" w:hAnsiTheme="minorHAnsi" w:cstheme="minorHAnsi"/>
          <w:bCs/>
          <w:color w:val="000000" w:themeColor="text1"/>
          <w:sz w:val="20"/>
          <w:szCs w:val="20"/>
          <w:lang w:val="en-US"/>
        </w:rPr>
        <w:t>an even</w:t>
      </w:r>
      <w:proofErr w:type="gramEnd"/>
      <w:r w:rsidR="00243A3F" w:rsidRPr="006D26BB">
        <w:rPr>
          <w:rFonts w:asciiTheme="minorHAnsi" w:hAnsiTheme="minorHAnsi" w:cstheme="minorHAnsi"/>
          <w:bCs/>
          <w:color w:val="000000" w:themeColor="text1"/>
          <w:sz w:val="20"/>
          <w:szCs w:val="20"/>
          <w:lang w:val="en-US"/>
        </w:rPr>
        <w:t xml:space="preserve"> better customer experience, and an engaged workforce. </w:t>
      </w:r>
    </w:p>
    <w:p w14:paraId="288993A1" w14:textId="77777777" w:rsidR="00243A3F" w:rsidRPr="006D26BB" w:rsidRDefault="00243A3F" w:rsidP="00243A3F">
      <w:pPr>
        <w:spacing w:after="0" w:line="240" w:lineRule="auto"/>
        <w:jc w:val="both"/>
        <w:rPr>
          <w:rFonts w:asciiTheme="minorHAnsi" w:hAnsiTheme="minorHAnsi" w:cstheme="minorHAnsi"/>
          <w:color w:val="000000" w:themeColor="text1"/>
          <w:sz w:val="20"/>
          <w:szCs w:val="20"/>
        </w:rPr>
      </w:pPr>
    </w:p>
    <w:p w14:paraId="25B10F34" w14:textId="06377209" w:rsidR="00243A3F" w:rsidRPr="006D26BB" w:rsidRDefault="00243A3F" w:rsidP="00340042">
      <w:pPr>
        <w:spacing w:after="0" w:line="240" w:lineRule="auto"/>
        <w:jc w:val="both"/>
        <w:rPr>
          <w:rFonts w:asciiTheme="minorHAnsi" w:hAnsiTheme="minorHAnsi" w:cstheme="minorHAnsi"/>
          <w:bCs/>
          <w:color w:val="000000" w:themeColor="text1"/>
          <w:sz w:val="20"/>
          <w:szCs w:val="20"/>
        </w:rPr>
      </w:pPr>
      <w:r w:rsidRPr="006D26BB">
        <w:rPr>
          <w:rFonts w:asciiTheme="minorHAnsi" w:hAnsiTheme="minorHAnsi" w:cstheme="minorHAnsi"/>
          <w:b/>
          <w:bCs/>
          <w:color w:val="000000" w:themeColor="text1"/>
          <w:sz w:val="20"/>
          <w:szCs w:val="20"/>
        </w:rPr>
        <w:t xml:space="preserve">Performance </w:t>
      </w:r>
    </w:p>
    <w:p w14:paraId="14A0F1BE" w14:textId="77777777" w:rsidR="00243A3F" w:rsidRPr="006D26BB" w:rsidRDefault="00243A3F" w:rsidP="00243A3F">
      <w:pPr>
        <w:widowControl w:val="0"/>
        <w:autoSpaceDE w:val="0"/>
        <w:autoSpaceDN w:val="0"/>
        <w:adjustRightInd w:val="0"/>
        <w:spacing w:after="0" w:line="240" w:lineRule="auto"/>
        <w:rPr>
          <w:rFonts w:asciiTheme="minorHAnsi" w:hAnsiTheme="minorHAnsi" w:cstheme="minorHAnsi"/>
          <w:bCs/>
          <w:color w:val="000000" w:themeColor="text1"/>
          <w:sz w:val="20"/>
          <w:szCs w:val="20"/>
        </w:rPr>
      </w:pPr>
    </w:p>
    <w:tbl>
      <w:tblPr>
        <w:tblW w:w="9072" w:type="dxa"/>
        <w:tblLayout w:type="fixed"/>
        <w:tblLook w:val="04A0" w:firstRow="1" w:lastRow="0" w:firstColumn="1" w:lastColumn="0" w:noHBand="0" w:noVBand="1"/>
      </w:tblPr>
      <w:tblGrid>
        <w:gridCol w:w="3730"/>
        <w:gridCol w:w="1503"/>
        <w:gridCol w:w="1504"/>
        <w:gridCol w:w="1504"/>
        <w:gridCol w:w="831"/>
      </w:tblGrid>
      <w:tr w:rsidR="00243A3F" w:rsidRPr="006D26BB" w14:paraId="1DC3C57F" w14:textId="77777777" w:rsidTr="00997EF7">
        <w:trPr>
          <w:trHeight w:val="124"/>
        </w:trPr>
        <w:tc>
          <w:tcPr>
            <w:tcW w:w="3730" w:type="dxa"/>
            <w:tcBorders>
              <w:top w:val="nil"/>
              <w:left w:val="nil"/>
              <w:bottom w:val="nil"/>
              <w:right w:val="nil"/>
            </w:tcBorders>
            <w:shd w:val="clear" w:color="000000" w:fill="FFFFFF"/>
            <w:vAlign w:val="center"/>
            <w:hideMark/>
          </w:tcPr>
          <w:p w14:paraId="7D66D42C" w14:textId="77777777" w:rsidR="00243A3F" w:rsidRPr="006D26BB" w:rsidRDefault="00243A3F" w:rsidP="005C1CFC">
            <w:pPr>
              <w:spacing w:after="0" w:line="240" w:lineRule="auto"/>
              <w:rPr>
                <w:rFonts w:asciiTheme="minorHAnsi" w:hAnsiTheme="minorHAnsi" w:cstheme="minorHAnsi"/>
                <w:b/>
                <w:color w:val="000000" w:themeColor="text1"/>
                <w:sz w:val="20"/>
                <w:szCs w:val="20"/>
              </w:rPr>
            </w:pPr>
            <w:r w:rsidRPr="006D26BB">
              <w:rPr>
                <w:rFonts w:asciiTheme="minorHAnsi" w:hAnsiTheme="minorHAnsi" w:cstheme="minorHAnsi"/>
                <w:b/>
                <w:color w:val="000000" w:themeColor="text1"/>
                <w:sz w:val="20"/>
                <w:szCs w:val="20"/>
              </w:rPr>
              <w:t> </w:t>
            </w:r>
          </w:p>
        </w:tc>
        <w:tc>
          <w:tcPr>
            <w:tcW w:w="1503" w:type="dxa"/>
            <w:tcBorders>
              <w:top w:val="nil"/>
              <w:left w:val="nil"/>
              <w:bottom w:val="nil"/>
              <w:right w:val="nil"/>
            </w:tcBorders>
            <w:shd w:val="clear" w:color="000000" w:fill="FFFFFF"/>
            <w:noWrap/>
            <w:vAlign w:val="center"/>
            <w:hideMark/>
          </w:tcPr>
          <w:p w14:paraId="6CE68721" w14:textId="44155953" w:rsidR="00243A3F" w:rsidRPr="006D26BB" w:rsidRDefault="00FF1C37" w:rsidP="005C1CFC">
            <w:pPr>
              <w:spacing w:after="0" w:line="240" w:lineRule="auto"/>
              <w:jc w:val="right"/>
              <w:rPr>
                <w:rFonts w:asciiTheme="minorHAnsi" w:hAnsiTheme="minorHAnsi" w:cstheme="minorHAnsi"/>
                <w:b/>
                <w:color w:val="000000" w:themeColor="text1"/>
                <w:sz w:val="20"/>
                <w:szCs w:val="20"/>
              </w:rPr>
            </w:pPr>
            <w:r w:rsidRPr="006D26BB">
              <w:rPr>
                <w:rFonts w:asciiTheme="minorHAnsi" w:hAnsiTheme="minorHAnsi" w:cstheme="minorHAnsi"/>
                <w:b/>
                <w:color w:val="000000" w:themeColor="text1"/>
                <w:sz w:val="20"/>
                <w:szCs w:val="20"/>
              </w:rPr>
              <w:t xml:space="preserve">H1 </w:t>
            </w:r>
            <w:r w:rsidR="00243A3F" w:rsidRPr="006D26BB">
              <w:rPr>
                <w:rFonts w:asciiTheme="minorHAnsi" w:hAnsiTheme="minorHAnsi" w:cstheme="minorHAnsi"/>
                <w:b/>
                <w:color w:val="000000" w:themeColor="text1"/>
                <w:sz w:val="20"/>
                <w:szCs w:val="20"/>
              </w:rPr>
              <w:t>202</w:t>
            </w:r>
            <w:r w:rsidRPr="006D26BB">
              <w:rPr>
                <w:rFonts w:asciiTheme="minorHAnsi" w:hAnsiTheme="minorHAnsi" w:cstheme="minorHAnsi"/>
                <w:b/>
                <w:color w:val="000000" w:themeColor="text1"/>
                <w:sz w:val="20"/>
                <w:szCs w:val="20"/>
              </w:rPr>
              <w:t>3</w:t>
            </w:r>
          </w:p>
        </w:tc>
        <w:tc>
          <w:tcPr>
            <w:tcW w:w="1504" w:type="dxa"/>
            <w:tcBorders>
              <w:top w:val="nil"/>
              <w:left w:val="nil"/>
              <w:bottom w:val="nil"/>
              <w:right w:val="nil"/>
            </w:tcBorders>
            <w:shd w:val="clear" w:color="000000" w:fill="FFFFFF"/>
            <w:noWrap/>
            <w:vAlign w:val="center"/>
            <w:hideMark/>
          </w:tcPr>
          <w:p w14:paraId="62DAF399" w14:textId="0210ADFB" w:rsidR="00243A3F" w:rsidRPr="006D26BB" w:rsidRDefault="00FF1C37" w:rsidP="005C1CFC">
            <w:pPr>
              <w:spacing w:after="0" w:line="240" w:lineRule="auto"/>
              <w:jc w:val="right"/>
              <w:rPr>
                <w:rFonts w:asciiTheme="minorHAnsi" w:hAnsiTheme="minorHAnsi" w:cstheme="minorHAnsi"/>
                <w:b/>
                <w:color w:val="000000" w:themeColor="text1"/>
                <w:sz w:val="20"/>
                <w:szCs w:val="20"/>
              </w:rPr>
            </w:pPr>
            <w:r w:rsidRPr="006D26BB">
              <w:rPr>
                <w:rFonts w:asciiTheme="minorHAnsi" w:hAnsiTheme="minorHAnsi" w:cstheme="minorHAnsi"/>
                <w:b/>
                <w:color w:val="000000" w:themeColor="text1"/>
                <w:sz w:val="20"/>
                <w:szCs w:val="20"/>
              </w:rPr>
              <w:t xml:space="preserve">H1 </w:t>
            </w:r>
            <w:r w:rsidR="00243A3F" w:rsidRPr="006D26BB">
              <w:rPr>
                <w:rFonts w:asciiTheme="minorHAnsi" w:hAnsiTheme="minorHAnsi" w:cstheme="minorHAnsi"/>
                <w:b/>
                <w:color w:val="000000" w:themeColor="text1"/>
                <w:sz w:val="20"/>
                <w:szCs w:val="20"/>
              </w:rPr>
              <w:t>202</w:t>
            </w:r>
            <w:r w:rsidRPr="006D26BB">
              <w:rPr>
                <w:rFonts w:asciiTheme="minorHAnsi" w:hAnsiTheme="minorHAnsi" w:cstheme="minorHAnsi"/>
                <w:b/>
                <w:color w:val="000000" w:themeColor="text1"/>
                <w:sz w:val="20"/>
                <w:szCs w:val="20"/>
              </w:rPr>
              <w:t>2</w:t>
            </w:r>
          </w:p>
        </w:tc>
        <w:tc>
          <w:tcPr>
            <w:tcW w:w="1504" w:type="dxa"/>
            <w:tcBorders>
              <w:top w:val="nil"/>
              <w:left w:val="nil"/>
              <w:bottom w:val="nil"/>
              <w:right w:val="nil"/>
            </w:tcBorders>
            <w:shd w:val="clear" w:color="000000" w:fill="FFFFFF"/>
            <w:noWrap/>
            <w:vAlign w:val="center"/>
            <w:hideMark/>
          </w:tcPr>
          <w:p w14:paraId="04C0231B" w14:textId="77777777" w:rsidR="00243A3F" w:rsidRPr="006D26BB" w:rsidRDefault="00243A3F" w:rsidP="005C1CFC">
            <w:pPr>
              <w:spacing w:after="0" w:line="240" w:lineRule="auto"/>
              <w:jc w:val="right"/>
              <w:rPr>
                <w:rFonts w:asciiTheme="minorHAnsi" w:hAnsiTheme="minorHAnsi" w:cstheme="minorHAnsi"/>
                <w:b/>
                <w:color w:val="000000" w:themeColor="text1"/>
                <w:sz w:val="20"/>
                <w:szCs w:val="20"/>
              </w:rPr>
            </w:pPr>
            <w:r w:rsidRPr="006D26BB">
              <w:rPr>
                <w:rFonts w:asciiTheme="minorHAnsi" w:hAnsiTheme="minorHAnsi" w:cstheme="minorHAnsi"/>
                <w:b/>
                <w:color w:val="000000" w:themeColor="text1"/>
                <w:sz w:val="20"/>
                <w:szCs w:val="20"/>
              </w:rPr>
              <w:t>Change</w:t>
            </w:r>
          </w:p>
        </w:tc>
        <w:tc>
          <w:tcPr>
            <w:tcW w:w="831" w:type="dxa"/>
            <w:tcBorders>
              <w:top w:val="nil"/>
              <w:left w:val="nil"/>
              <w:bottom w:val="nil"/>
              <w:right w:val="nil"/>
            </w:tcBorders>
            <w:shd w:val="clear" w:color="000000" w:fill="FFFFFF"/>
            <w:noWrap/>
            <w:vAlign w:val="center"/>
            <w:hideMark/>
          </w:tcPr>
          <w:p w14:paraId="5A0F7336" w14:textId="77777777" w:rsidR="00243A3F" w:rsidRPr="006D26BB" w:rsidRDefault="00243A3F" w:rsidP="005C1CFC">
            <w:pPr>
              <w:spacing w:after="0" w:line="240" w:lineRule="auto"/>
              <w:jc w:val="right"/>
              <w:rPr>
                <w:rFonts w:asciiTheme="minorHAnsi" w:hAnsiTheme="minorHAnsi" w:cstheme="minorHAnsi"/>
                <w:b/>
                <w:color w:val="000000" w:themeColor="text1"/>
                <w:sz w:val="20"/>
                <w:szCs w:val="20"/>
              </w:rPr>
            </w:pPr>
            <w:r w:rsidRPr="006D26BB">
              <w:rPr>
                <w:rFonts w:asciiTheme="minorHAnsi" w:hAnsiTheme="minorHAnsi" w:cstheme="minorHAnsi"/>
                <w:b/>
                <w:color w:val="000000" w:themeColor="text1"/>
                <w:sz w:val="20"/>
                <w:szCs w:val="20"/>
              </w:rPr>
              <w:t>Change</w:t>
            </w:r>
          </w:p>
        </w:tc>
      </w:tr>
      <w:tr w:rsidR="00243A3F" w:rsidRPr="006D26BB" w14:paraId="55FF06D3" w14:textId="77777777" w:rsidTr="00997EF7">
        <w:trPr>
          <w:trHeight w:val="131"/>
        </w:trPr>
        <w:tc>
          <w:tcPr>
            <w:tcW w:w="3730" w:type="dxa"/>
            <w:tcBorders>
              <w:top w:val="nil"/>
              <w:left w:val="nil"/>
              <w:bottom w:val="single" w:sz="8" w:space="0" w:color="auto"/>
              <w:right w:val="nil"/>
            </w:tcBorders>
            <w:shd w:val="clear" w:color="000000" w:fill="FFFFFF"/>
            <w:vAlign w:val="center"/>
            <w:hideMark/>
          </w:tcPr>
          <w:p w14:paraId="7A7C5BAB" w14:textId="77777777" w:rsidR="00243A3F" w:rsidRPr="006D26BB" w:rsidRDefault="00243A3F" w:rsidP="005C1CFC">
            <w:pPr>
              <w:spacing w:after="0" w:line="240" w:lineRule="auto"/>
              <w:rPr>
                <w:rFonts w:asciiTheme="minorHAnsi" w:hAnsiTheme="minorHAnsi" w:cstheme="minorHAnsi"/>
                <w:b/>
                <w:color w:val="000000" w:themeColor="text1"/>
                <w:sz w:val="20"/>
                <w:szCs w:val="20"/>
              </w:rPr>
            </w:pPr>
            <w:r w:rsidRPr="006D26BB">
              <w:rPr>
                <w:rFonts w:asciiTheme="minorHAnsi" w:hAnsiTheme="minorHAnsi" w:cstheme="minorHAnsi"/>
                <w:b/>
                <w:color w:val="000000" w:themeColor="text1"/>
                <w:sz w:val="20"/>
                <w:szCs w:val="20"/>
              </w:rPr>
              <w:t> </w:t>
            </w:r>
          </w:p>
        </w:tc>
        <w:tc>
          <w:tcPr>
            <w:tcW w:w="1503" w:type="dxa"/>
            <w:tcBorders>
              <w:top w:val="nil"/>
              <w:left w:val="nil"/>
              <w:bottom w:val="single" w:sz="8" w:space="0" w:color="auto"/>
              <w:right w:val="nil"/>
            </w:tcBorders>
            <w:shd w:val="clear" w:color="000000" w:fill="FFFFFF"/>
            <w:vAlign w:val="center"/>
            <w:hideMark/>
          </w:tcPr>
          <w:p w14:paraId="0FD5BAB7" w14:textId="77777777" w:rsidR="00243A3F" w:rsidRPr="006D26BB" w:rsidRDefault="00243A3F" w:rsidP="005C1CFC">
            <w:pPr>
              <w:spacing w:after="0" w:line="240" w:lineRule="auto"/>
              <w:jc w:val="right"/>
              <w:rPr>
                <w:rFonts w:asciiTheme="minorHAnsi" w:hAnsiTheme="minorHAnsi" w:cstheme="minorHAnsi"/>
                <w:b/>
                <w:color w:val="000000" w:themeColor="text1"/>
                <w:sz w:val="20"/>
                <w:szCs w:val="20"/>
              </w:rPr>
            </w:pPr>
            <w:r w:rsidRPr="006D26BB">
              <w:rPr>
                <w:rFonts w:asciiTheme="minorHAnsi" w:hAnsiTheme="minorHAnsi" w:cstheme="minorHAnsi"/>
                <w:b/>
                <w:color w:val="000000" w:themeColor="text1"/>
                <w:sz w:val="20"/>
                <w:szCs w:val="20"/>
              </w:rPr>
              <w:t>£’000</w:t>
            </w:r>
          </w:p>
        </w:tc>
        <w:tc>
          <w:tcPr>
            <w:tcW w:w="1504" w:type="dxa"/>
            <w:tcBorders>
              <w:top w:val="nil"/>
              <w:left w:val="nil"/>
              <w:bottom w:val="single" w:sz="8" w:space="0" w:color="auto"/>
              <w:right w:val="nil"/>
            </w:tcBorders>
            <w:shd w:val="clear" w:color="000000" w:fill="FFFFFF"/>
            <w:vAlign w:val="center"/>
            <w:hideMark/>
          </w:tcPr>
          <w:p w14:paraId="1568C13F" w14:textId="77777777" w:rsidR="00243A3F" w:rsidRPr="006D26BB" w:rsidRDefault="00243A3F" w:rsidP="005C1CFC">
            <w:pPr>
              <w:spacing w:after="0" w:line="240" w:lineRule="auto"/>
              <w:jc w:val="right"/>
              <w:rPr>
                <w:rFonts w:asciiTheme="minorHAnsi" w:hAnsiTheme="minorHAnsi" w:cstheme="minorHAnsi"/>
                <w:b/>
                <w:color w:val="000000" w:themeColor="text1"/>
                <w:sz w:val="20"/>
                <w:szCs w:val="20"/>
              </w:rPr>
            </w:pPr>
            <w:r w:rsidRPr="006D26BB">
              <w:rPr>
                <w:rFonts w:asciiTheme="minorHAnsi" w:hAnsiTheme="minorHAnsi" w:cstheme="minorHAnsi"/>
                <w:b/>
                <w:color w:val="000000" w:themeColor="text1"/>
                <w:sz w:val="20"/>
                <w:szCs w:val="20"/>
              </w:rPr>
              <w:t>£’000</w:t>
            </w:r>
          </w:p>
        </w:tc>
        <w:tc>
          <w:tcPr>
            <w:tcW w:w="1504" w:type="dxa"/>
            <w:tcBorders>
              <w:top w:val="nil"/>
              <w:left w:val="nil"/>
              <w:bottom w:val="single" w:sz="8" w:space="0" w:color="auto"/>
              <w:right w:val="nil"/>
            </w:tcBorders>
            <w:shd w:val="clear" w:color="000000" w:fill="FFFFFF"/>
            <w:vAlign w:val="center"/>
            <w:hideMark/>
          </w:tcPr>
          <w:p w14:paraId="6ECA3B4A" w14:textId="77777777" w:rsidR="00243A3F" w:rsidRPr="006D26BB" w:rsidRDefault="00243A3F" w:rsidP="005C1CFC">
            <w:pPr>
              <w:spacing w:after="0" w:line="240" w:lineRule="auto"/>
              <w:jc w:val="right"/>
              <w:rPr>
                <w:rFonts w:asciiTheme="minorHAnsi" w:hAnsiTheme="minorHAnsi" w:cstheme="minorHAnsi"/>
                <w:b/>
                <w:color w:val="000000" w:themeColor="text1"/>
                <w:sz w:val="20"/>
                <w:szCs w:val="20"/>
              </w:rPr>
            </w:pPr>
            <w:r w:rsidRPr="006D26BB">
              <w:rPr>
                <w:rFonts w:asciiTheme="minorHAnsi" w:hAnsiTheme="minorHAnsi" w:cstheme="minorHAnsi"/>
                <w:b/>
                <w:color w:val="000000" w:themeColor="text1"/>
                <w:sz w:val="20"/>
                <w:szCs w:val="20"/>
              </w:rPr>
              <w:t>£’000</w:t>
            </w:r>
          </w:p>
        </w:tc>
        <w:tc>
          <w:tcPr>
            <w:tcW w:w="831" w:type="dxa"/>
            <w:tcBorders>
              <w:top w:val="nil"/>
              <w:left w:val="nil"/>
              <w:bottom w:val="single" w:sz="8" w:space="0" w:color="auto"/>
              <w:right w:val="nil"/>
            </w:tcBorders>
            <w:shd w:val="clear" w:color="000000" w:fill="FFFFFF"/>
            <w:vAlign w:val="center"/>
            <w:hideMark/>
          </w:tcPr>
          <w:p w14:paraId="5F5188EE" w14:textId="77777777" w:rsidR="00243A3F" w:rsidRPr="006D26BB" w:rsidRDefault="00243A3F" w:rsidP="005C1CFC">
            <w:pPr>
              <w:spacing w:after="0" w:line="240" w:lineRule="auto"/>
              <w:jc w:val="right"/>
              <w:rPr>
                <w:rFonts w:asciiTheme="minorHAnsi" w:hAnsiTheme="minorHAnsi" w:cstheme="minorHAnsi"/>
                <w:b/>
                <w:color w:val="000000" w:themeColor="text1"/>
                <w:sz w:val="20"/>
                <w:szCs w:val="20"/>
              </w:rPr>
            </w:pPr>
            <w:r w:rsidRPr="006D26BB">
              <w:rPr>
                <w:rFonts w:asciiTheme="minorHAnsi" w:hAnsiTheme="minorHAnsi" w:cstheme="minorHAnsi"/>
                <w:b/>
                <w:color w:val="000000" w:themeColor="text1"/>
                <w:sz w:val="20"/>
                <w:szCs w:val="20"/>
              </w:rPr>
              <w:t>% </w:t>
            </w:r>
          </w:p>
        </w:tc>
      </w:tr>
      <w:tr w:rsidR="00FF1C37" w:rsidRPr="006D26BB" w14:paraId="04696272" w14:textId="77777777" w:rsidTr="00997EF7">
        <w:trPr>
          <w:trHeight w:val="124"/>
        </w:trPr>
        <w:tc>
          <w:tcPr>
            <w:tcW w:w="3730" w:type="dxa"/>
            <w:tcBorders>
              <w:top w:val="nil"/>
              <w:left w:val="nil"/>
              <w:bottom w:val="nil"/>
              <w:right w:val="nil"/>
            </w:tcBorders>
            <w:shd w:val="clear" w:color="000000" w:fill="FFFFFF"/>
            <w:noWrap/>
            <w:vAlign w:val="center"/>
            <w:hideMark/>
          </w:tcPr>
          <w:p w14:paraId="33B5A9DD" w14:textId="77777777" w:rsidR="00FF1C37" w:rsidRPr="006D26BB" w:rsidRDefault="00FF1C37" w:rsidP="00FF1C37">
            <w:pPr>
              <w:spacing w:after="0" w:line="240" w:lineRule="auto"/>
              <w:rPr>
                <w:rFonts w:asciiTheme="minorHAnsi" w:hAnsiTheme="minorHAnsi" w:cstheme="minorHAnsi"/>
                <w:b/>
                <w:bCs/>
                <w:color w:val="000000" w:themeColor="text1"/>
                <w:sz w:val="20"/>
                <w:szCs w:val="20"/>
              </w:rPr>
            </w:pPr>
            <w:r w:rsidRPr="006D26BB">
              <w:rPr>
                <w:rFonts w:asciiTheme="minorHAnsi" w:hAnsiTheme="minorHAnsi" w:cstheme="minorHAnsi"/>
                <w:b/>
                <w:bCs/>
                <w:color w:val="000000" w:themeColor="text1"/>
                <w:sz w:val="20"/>
                <w:szCs w:val="20"/>
              </w:rPr>
              <w:t>Revenue</w:t>
            </w:r>
          </w:p>
        </w:tc>
        <w:tc>
          <w:tcPr>
            <w:tcW w:w="1503" w:type="dxa"/>
            <w:tcBorders>
              <w:top w:val="nil"/>
              <w:left w:val="nil"/>
              <w:bottom w:val="nil"/>
              <w:right w:val="nil"/>
            </w:tcBorders>
            <w:shd w:val="clear" w:color="000000" w:fill="FFFFFF"/>
            <w:vAlign w:val="bottom"/>
            <w:hideMark/>
          </w:tcPr>
          <w:p w14:paraId="5B425BA0" w14:textId="54EF2E14" w:rsidR="00FF1C37" w:rsidRPr="006D26BB" w:rsidRDefault="00FF1C37" w:rsidP="00FF1C37">
            <w:pPr>
              <w:spacing w:after="0" w:line="240" w:lineRule="auto"/>
              <w:jc w:val="right"/>
              <w:rPr>
                <w:rFonts w:asciiTheme="minorHAnsi" w:hAnsiTheme="minorHAnsi" w:cstheme="minorHAnsi"/>
                <w:b/>
                <w:bCs/>
                <w:color w:val="000000" w:themeColor="text1"/>
                <w:sz w:val="20"/>
                <w:szCs w:val="20"/>
              </w:rPr>
            </w:pPr>
            <w:r w:rsidRPr="006D26BB">
              <w:rPr>
                <w:rFonts w:asciiTheme="minorHAnsi" w:hAnsiTheme="minorHAnsi" w:cstheme="minorHAnsi"/>
                <w:b/>
                <w:bCs/>
                <w:color w:val="000000"/>
                <w:sz w:val="20"/>
                <w:szCs w:val="20"/>
              </w:rPr>
              <w:t xml:space="preserve">   87,606 </w:t>
            </w:r>
          </w:p>
        </w:tc>
        <w:tc>
          <w:tcPr>
            <w:tcW w:w="1504" w:type="dxa"/>
            <w:tcBorders>
              <w:top w:val="nil"/>
              <w:left w:val="nil"/>
              <w:bottom w:val="nil"/>
              <w:right w:val="nil"/>
            </w:tcBorders>
            <w:shd w:val="clear" w:color="000000" w:fill="FFFFFF"/>
            <w:vAlign w:val="bottom"/>
            <w:hideMark/>
          </w:tcPr>
          <w:p w14:paraId="1BC1E8E3" w14:textId="76C7A26F" w:rsidR="00FF1C37" w:rsidRPr="006D26BB" w:rsidRDefault="00FF1C37" w:rsidP="00FF1C37">
            <w:pPr>
              <w:spacing w:after="0" w:line="240" w:lineRule="auto"/>
              <w:jc w:val="right"/>
              <w:rPr>
                <w:rFonts w:asciiTheme="minorHAnsi" w:hAnsiTheme="minorHAnsi" w:cstheme="minorHAnsi"/>
                <w:b/>
                <w:bCs/>
                <w:color w:val="000000" w:themeColor="text1"/>
                <w:sz w:val="20"/>
                <w:szCs w:val="20"/>
              </w:rPr>
            </w:pPr>
            <w:r w:rsidRPr="006D26BB">
              <w:rPr>
                <w:rFonts w:asciiTheme="minorHAnsi" w:hAnsiTheme="minorHAnsi" w:cstheme="minorHAnsi"/>
                <w:b/>
                <w:bCs/>
                <w:color w:val="000000"/>
                <w:sz w:val="20"/>
                <w:szCs w:val="20"/>
              </w:rPr>
              <w:t xml:space="preserve">   85,746 </w:t>
            </w:r>
          </w:p>
        </w:tc>
        <w:tc>
          <w:tcPr>
            <w:tcW w:w="1504" w:type="dxa"/>
            <w:tcBorders>
              <w:top w:val="nil"/>
              <w:left w:val="nil"/>
              <w:bottom w:val="nil"/>
              <w:right w:val="nil"/>
            </w:tcBorders>
            <w:shd w:val="clear" w:color="000000" w:fill="FFFFFF"/>
            <w:noWrap/>
            <w:vAlign w:val="bottom"/>
            <w:hideMark/>
          </w:tcPr>
          <w:p w14:paraId="7910052F" w14:textId="63AF861E" w:rsidR="00FF1C37" w:rsidRPr="006D26BB" w:rsidRDefault="00FF1C37" w:rsidP="00FF1C37">
            <w:pPr>
              <w:spacing w:after="0" w:line="240" w:lineRule="auto"/>
              <w:jc w:val="right"/>
              <w:rPr>
                <w:rFonts w:asciiTheme="minorHAnsi" w:hAnsiTheme="minorHAnsi" w:cstheme="minorHAnsi"/>
                <w:b/>
                <w:bCs/>
                <w:color w:val="000000" w:themeColor="text1"/>
                <w:sz w:val="20"/>
                <w:szCs w:val="20"/>
              </w:rPr>
            </w:pPr>
            <w:r w:rsidRPr="006D26BB">
              <w:rPr>
                <w:rFonts w:asciiTheme="minorHAnsi" w:hAnsiTheme="minorHAnsi" w:cstheme="minorHAnsi"/>
                <w:b/>
                <w:bCs/>
                <w:color w:val="000000"/>
                <w:sz w:val="20"/>
                <w:szCs w:val="20"/>
              </w:rPr>
              <w:t xml:space="preserve">   1,860 </w:t>
            </w:r>
          </w:p>
        </w:tc>
        <w:tc>
          <w:tcPr>
            <w:tcW w:w="831" w:type="dxa"/>
            <w:tcBorders>
              <w:top w:val="nil"/>
              <w:left w:val="nil"/>
              <w:bottom w:val="nil"/>
              <w:right w:val="nil"/>
            </w:tcBorders>
            <w:shd w:val="clear" w:color="000000" w:fill="FFFFFF"/>
            <w:noWrap/>
            <w:vAlign w:val="bottom"/>
            <w:hideMark/>
          </w:tcPr>
          <w:p w14:paraId="76A3C92B" w14:textId="5FB9083C" w:rsidR="00FF1C37" w:rsidRPr="006D26BB" w:rsidRDefault="00FF1C37" w:rsidP="00FF1C37">
            <w:pPr>
              <w:spacing w:after="0" w:line="240" w:lineRule="auto"/>
              <w:jc w:val="right"/>
              <w:rPr>
                <w:rFonts w:asciiTheme="minorHAnsi" w:hAnsiTheme="minorHAnsi" w:cstheme="minorHAnsi"/>
                <w:b/>
                <w:bCs/>
                <w:color w:val="000000" w:themeColor="text1"/>
                <w:sz w:val="20"/>
                <w:szCs w:val="20"/>
              </w:rPr>
            </w:pPr>
            <w:r w:rsidRPr="006D26BB">
              <w:rPr>
                <w:rFonts w:asciiTheme="minorHAnsi" w:hAnsiTheme="minorHAnsi" w:cstheme="minorHAnsi"/>
                <w:b/>
                <w:bCs/>
                <w:color w:val="000000"/>
                <w:sz w:val="20"/>
                <w:szCs w:val="20"/>
              </w:rPr>
              <w:t>2%</w:t>
            </w:r>
          </w:p>
        </w:tc>
      </w:tr>
      <w:tr w:rsidR="00CA1244" w:rsidRPr="006D26BB" w14:paraId="2CA42BBF" w14:textId="77777777" w:rsidTr="00997EF7">
        <w:trPr>
          <w:trHeight w:val="131"/>
        </w:trPr>
        <w:tc>
          <w:tcPr>
            <w:tcW w:w="3730" w:type="dxa"/>
            <w:tcBorders>
              <w:top w:val="nil"/>
              <w:left w:val="nil"/>
              <w:bottom w:val="single" w:sz="8" w:space="0" w:color="auto"/>
              <w:right w:val="nil"/>
            </w:tcBorders>
            <w:shd w:val="clear" w:color="000000" w:fill="FFFFFF"/>
            <w:noWrap/>
            <w:vAlign w:val="center"/>
            <w:hideMark/>
          </w:tcPr>
          <w:p w14:paraId="59F27193" w14:textId="77777777" w:rsidR="00CA1244" w:rsidRPr="006D26BB" w:rsidRDefault="00CA1244" w:rsidP="00CA1244">
            <w:pPr>
              <w:spacing w:after="0" w:line="240" w:lineRule="auto"/>
              <w:rPr>
                <w:rFonts w:asciiTheme="minorHAnsi" w:hAnsiTheme="minorHAnsi" w:cstheme="minorHAnsi"/>
                <w:bCs/>
                <w:color w:val="000000" w:themeColor="text1"/>
                <w:sz w:val="20"/>
                <w:szCs w:val="20"/>
              </w:rPr>
            </w:pPr>
            <w:r w:rsidRPr="006D26BB">
              <w:rPr>
                <w:rFonts w:asciiTheme="minorHAnsi" w:hAnsiTheme="minorHAnsi" w:cstheme="minorHAnsi"/>
                <w:bCs/>
                <w:color w:val="000000" w:themeColor="text1"/>
                <w:sz w:val="20"/>
                <w:szCs w:val="20"/>
              </w:rPr>
              <w:t>Cost of sales</w:t>
            </w:r>
          </w:p>
        </w:tc>
        <w:tc>
          <w:tcPr>
            <w:tcW w:w="1503" w:type="dxa"/>
            <w:tcBorders>
              <w:top w:val="nil"/>
              <w:left w:val="nil"/>
              <w:bottom w:val="single" w:sz="8" w:space="0" w:color="auto"/>
              <w:right w:val="nil"/>
            </w:tcBorders>
            <w:shd w:val="clear" w:color="000000" w:fill="FFFFFF"/>
            <w:vAlign w:val="bottom"/>
            <w:hideMark/>
          </w:tcPr>
          <w:p w14:paraId="44FBFD27" w14:textId="181E7B9E" w:rsidR="00CA1244" w:rsidRPr="006D26BB" w:rsidRDefault="00CA1244" w:rsidP="00CA1244">
            <w:pPr>
              <w:spacing w:after="0" w:line="240" w:lineRule="auto"/>
              <w:jc w:val="right"/>
              <w:rPr>
                <w:rFonts w:asciiTheme="minorHAnsi" w:hAnsiTheme="minorHAnsi" w:cstheme="minorHAnsi"/>
                <w:bCs/>
                <w:color w:val="000000" w:themeColor="text1"/>
                <w:sz w:val="20"/>
                <w:szCs w:val="20"/>
              </w:rPr>
            </w:pPr>
            <w:r w:rsidRPr="006D26BB">
              <w:rPr>
                <w:rFonts w:asciiTheme="minorHAnsi" w:hAnsiTheme="minorHAnsi" w:cstheme="minorHAnsi"/>
                <w:color w:val="000000"/>
                <w:sz w:val="20"/>
                <w:szCs w:val="20"/>
              </w:rPr>
              <w:t xml:space="preserve">  (65,</w:t>
            </w:r>
            <w:r w:rsidR="00623CDD" w:rsidRPr="006D26BB">
              <w:rPr>
                <w:rFonts w:asciiTheme="minorHAnsi" w:hAnsiTheme="minorHAnsi" w:cstheme="minorHAnsi"/>
                <w:color w:val="000000"/>
                <w:sz w:val="20"/>
                <w:szCs w:val="20"/>
              </w:rPr>
              <w:t>97</w:t>
            </w:r>
            <w:r w:rsidR="00623CDD">
              <w:rPr>
                <w:rFonts w:asciiTheme="minorHAnsi" w:hAnsiTheme="minorHAnsi" w:cstheme="minorHAnsi"/>
                <w:color w:val="000000"/>
                <w:sz w:val="20"/>
                <w:szCs w:val="20"/>
              </w:rPr>
              <w:t>6</w:t>
            </w:r>
            <w:r w:rsidRPr="006D26BB">
              <w:rPr>
                <w:rFonts w:asciiTheme="minorHAnsi" w:hAnsiTheme="minorHAnsi" w:cstheme="minorHAnsi"/>
                <w:color w:val="000000"/>
                <w:sz w:val="20"/>
                <w:szCs w:val="20"/>
              </w:rPr>
              <w:t>)</w:t>
            </w:r>
          </w:p>
        </w:tc>
        <w:tc>
          <w:tcPr>
            <w:tcW w:w="1504" w:type="dxa"/>
            <w:tcBorders>
              <w:top w:val="nil"/>
              <w:left w:val="nil"/>
              <w:bottom w:val="single" w:sz="8" w:space="0" w:color="auto"/>
              <w:right w:val="nil"/>
            </w:tcBorders>
            <w:shd w:val="clear" w:color="000000" w:fill="FFFFFF"/>
            <w:vAlign w:val="bottom"/>
            <w:hideMark/>
          </w:tcPr>
          <w:p w14:paraId="122B9876" w14:textId="4482386A" w:rsidR="00CA1244" w:rsidRPr="006D26BB" w:rsidRDefault="00CA1244" w:rsidP="00CA1244">
            <w:pPr>
              <w:spacing w:after="0" w:line="240" w:lineRule="auto"/>
              <w:jc w:val="right"/>
              <w:rPr>
                <w:rFonts w:asciiTheme="minorHAnsi" w:hAnsiTheme="minorHAnsi" w:cstheme="minorHAnsi"/>
                <w:bCs/>
                <w:color w:val="000000" w:themeColor="text1"/>
                <w:sz w:val="20"/>
                <w:szCs w:val="20"/>
              </w:rPr>
            </w:pPr>
            <w:r w:rsidRPr="006D26BB">
              <w:rPr>
                <w:rFonts w:asciiTheme="minorHAnsi" w:hAnsiTheme="minorHAnsi" w:cstheme="minorHAnsi"/>
                <w:color w:val="000000"/>
                <w:sz w:val="20"/>
                <w:szCs w:val="20"/>
              </w:rPr>
              <w:t xml:space="preserve">  (64,845)</w:t>
            </w:r>
          </w:p>
        </w:tc>
        <w:tc>
          <w:tcPr>
            <w:tcW w:w="1504" w:type="dxa"/>
            <w:tcBorders>
              <w:top w:val="nil"/>
              <w:left w:val="nil"/>
              <w:bottom w:val="single" w:sz="8" w:space="0" w:color="auto"/>
              <w:right w:val="nil"/>
            </w:tcBorders>
            <w:shd w:val="clear" w:color="000000" w:fill="FFFFFF"/>
            <w:vAlign w:val="bottom"/>
            <w:hideMark/>
          </w:tcPr>
          <w:p w14:paraId="2D84B1CC" w14:textId="6A0B7311" w:rsidR="00CA1244" w:rsidRPr="006D26BB" w:rsidRDefault="00CA1244" w:rsidP="00CA1244">
            <w:pPr>
              <w:spacing w:after="0" w:line="240" w:lineRule="auto"/>
              <w:jc w:val="right"/>
              <w:rPr>
                <w:rFonts w:asciiTheme="minorHAnsi" w:hAnsiTheme="minorHAnsi" w:cstheme="minorHAnsi"/>
                <w:bCs/>
                <w:color w:val="000000" w:themeColor="text1"/>
                <w:sz w:val="20"/>
                <w:szCs w:val="20"/>
              </w:rPr>
            </w:pPr>
            <w:r w:rsidRPr="006D26BB">
              <w:rPr>
                <w:rFonts w:asciiTheme="minorHAnsi" w:hAnsiTheme="minorHAnsi" w:cstheme="minorHAnsi"/>
                <w:color w:val="000000"/>
                <w:sz w:val="20"/>
                <w:szCs w:val="20"/>
              </w:rPr>
              <w:t xml:space="preserve">  (1,13</w:t>
            </w:r>
            <w:r w:rsidR="0049527B">
              <w:rPr>
                <w:rFonts w:asciiTheme="minorHAnsi" w:hAnsiTheme="minorHAnsi" w:cstheme="minorHAnsi"/>
                <w:color w:val="000000"/>
                <w:sz w:val="20"/>
                <w:szCs w:val="20"/>
              </w:rPr>
              <w:t>1</w:t>
            </w:r>
            <w:r w:rsidRPr="006D26BB">
              <w:rPr>
                <w:rFonts w:asciiTheme="minorHAnsi" w:hAnsiTheme="minorHAnsi" w:cstheme="minorHAnsi"/>
                <w:color w:val="000000"/>
                <w:sz w:val="20"/>
                <w:szCs w:val="20"/>
              </w:rPr>
              <w:t>)</w:t>
            </w:r>
          </w:p>
        </w:tc>
        <w:tc>
          <w:tcPr>
            <w:tcW w:w="831" w:type="dxa"/>
            <w:tcBorders>
              <w:top w:val="nil"/>
              <w:left w:val="nil"/>
              <w:bottom w:val="single" w:sz="8" w:space="0" w:color="auto"/>
              <w:right w:val="nil"/>
            </w:tcBorders>
            <w:shd w:val="clear" w:color="000000" w:fill="FFFFFF"/>
            <w:noWrap/>
            <w:vAlign w:val="bottom"/>
            <w:hideMark/>
          </w:tcPr>
          <w:p w14:paraId="56A5AB29" w14:textId="703BD2A7" w:rsidR="00CA1244" w:rsidRPr="006D26BB" w:rsidRDefault="00CA1244" w:rsidP="00CA1244">
            <w:pPr>
              <w:spacing w:after="0" w:line="240" w:lineRule="auto"/>
              <w:jc w:val="right"/>
              <w:rPr>
                <w:rFonts w:asciiTheme="minorHAnsi" w:hAnsiTheme="minorHAnsi" w:cstheme="minorHAnsi"/>
                <w:bCs/>
                <w:color w:val="000000" w:themeColor="text1"/>
                <w:sz w:val="20"/>
                <w:szCs w:val="20"/>
              </w:rPr>
            </w:pPr>
            <w:r w:rsidRPr="006D26BB">
              <w:rPr>
                <w:rFonts w:asciiTheme="minorHAnsi" w:hAnsiTheme="minorHAnsi" w:cstheme="minorHAnsi"/>
                <w:color w:val="000000"/>
                <w:sz w:val="20"/>
                <w:szCs w:val="20"/>
              </w:rPr>
              <w:t>2%</w:t>
            </w:r>
          </w:p>
        </w:tc>
      </w:tr>
      <w:tr w:rsidR="00CA1244" w:rsidRPr="006D26BB" w14:paraId="791D7660" w14:textId="77777777" w:rsidTr="00997EF7">
        <w:trPr>
          <w:trHeight w:val="124"/>
        </w:trPr>
        <w:tc>
          <w:tcPr>
            <w:tcW w:w="3730" w:type="dxa"/>
            <w:tcBorders>
              <w:top w:val="nil"/>
              <w:left w:val="nil"/>
              <w:bottom w:val="nil"/>
              <w:right w:val="nil"/>
            </w:tcBorders>
            <w:shd w:val="clear" w:color="000000" w:fill="FFFFFF"/>
            <w:noWrap/>
            <w:vAlign w:val="center"/>
            <w:hideMark/>
          </w:tcPr>
          <w:p w14:paraId="312F0EC9" w14:textId="77777777" w:rsidR="00CA1244" w:rsidRPr="006D26BB" w:rsidRDefault="00CA1244" w:rsidP="00CA1244">
            <w:pPr>
              <w:spacing w:after="0" w:line="240" w:lineRule="auto"/>
              <w:rPr>
                <w:rFonts w:asciiTheme="minorHAnsi" w:hAnsiTheme="minorHAnsi" w:cstheme="minorHAnsi"/>
                <w:b/>
                <w:bCs/>
                <w:color w:val="000000" w:themeColor="text1"/>
                <w:sz w:val="20"/>
                <w:szCs w:val="20"/>
              </w:rPr>
            </w:pPr>
            <w:r w:rsidRPr="006D26BB">
              <w:rPr>
                <w:rFonts w:asciiTheme="minorHAnsi" w:hAnsiTheme="minorHAnsi" w:cstheme="minorHAnsi"/>
                <w:b/>
                <w:bCs/>
                <w:color w:val="000000" w:themeColor="text1"/>
                <w:sz w:val="20"/>
                <w:szCs w:val="20"/>
              </w:rPr>
              <w:t>Gross profit</w:t>
            </w:r>
          </w:p>
        </w:tc>
        <w:tc>
          <w:tcPr>
            <w:tcW w:w="1503" w:type="dxa"/>
            <w:tcBorders>
              <w:top w:val="nil"/>
              <w:left w:val="nil"/>
              <w:bottom w:val="nil"/>
              <w:right w:val="nil"/>
            </w:tcBorders>
            <w:shd w:val="clear" w:color="000000" w:fill="FFFFFF"/>
            <w:vAlign w:val="bottom"/>
            <w:hideMark/>
          </w:tcPr>
          <w:p w14:paraId="75570B09" w14:textId="647926A7" w:rsidR="00CA1244" w:rsidRPr="006D26BB" w:rsidRDefault="00CA1244" w:rsidP="00CA1244">
            <w:pPr>
              <w:spacing w:after="0" w:line="240" w:lineRule="auto"/>
              <w:jc w:val="right"/>
              <w:rPr>
                <w:rFonts w:asciiTheme="minorHAnsi" w:hAnsiTheme="minorHAnsi" w:cstheme="minorHAnsi"/>
                <w:b/>
                <w:bCs/>
                <w:color w:val="000000" w:themeColor="text1"/>
                <w:sz w:val="20"/>
                <w:szCs w:val="20"/>
              </w:rPr>
            </w:pPr>
            <w:r w:rsidRPr="006D26BB">
              <w:rPr>
                <w:rFonts w:asciiTheme="minorHAnsi" w:hAnsiTheme="minorHAnsi" w:cstheme="minorHAnsi"/>
                <w:b/>
                <w:bCs/>
                <w:color w:val="000000"/>
                <w:sz w:val="20"/>
                <w:szCs w:val="20"/>
              </w:rPr>
              <w:t xml:space="preserve">   21,</w:t>
            </w:r>
            <w:r w:rsidR="00623CDD" w:rsidRPr="006D26BB">
              <w:rPr>
                <w:rFonts w:asciiTheme="minorHAnsi" w:hAnsiTheme="minorHAnsi" w:cstheme="minorHAnsi"/>
                <w:b/>
                <w:bCs/>
                <w:color w:val="000000"/>
                <w:sz w:val="20"/>
                <w:szCs w:val="20"/>
              </w:rPr>
              <w:t>63</w:t>
            </w:r>
            <w:r w:rsidR="00623CDD">
              <w:rPr>
                <w:rFonts w:asciiTheme="minorHAnsi" w:hAnsiTheme="minorHAnsi" w:cstheme="minorHAnsi"/>
                <w:b/>
                <w:bCs/>
                <w:color w:val="000000"/>
                <w:sz w:val="20"/>
                <w:szCs w:val="20"/>
              </w:rPr>
              <w:t>0</w:t>
            </w:r>
            <w:r w:rsidR="00623CDD" w:rsidRPr="006D26BB">
              <w:rPr>
                <w:rFonts w:asciiTheme="minorHAnsi" w:hAnsiTheme="minorHAnsi" w:cstheme="minorHAnsi"/>
                <w:b/>
                <w:bCs/>
                <w:color w:val="000000"/>
                <w:sz w:val="20"/>
                <w:szCs w:val="20"/>
              </w:rPr>
              <w:t xml:space="preserve"> </w:t>
            </w:r>
          </w:p>
        </w:tc>
        <w:tc>
          <w:tcPr>
            <w:tcW w:w="1504" w:type="dxa"/>
            <w:tcBorders>
              <w:top w:val="nil"/>
              <w:left w:val="nil"/>
              <w:bottom w:val="nil"/>
              <w:right w:val="nil"/>
            </w:tcBorders>
            <w:shd w:val="clear" w:color="000000" w:fill="FFFFFF"/>
            <w:vAlign w:val="bottom"/>
            <w:hideMark/>
          </w:tcPr>
          <w:p w14:paraId="274F4631" w14:textId="13829129" w:rsidR="00CA1244" w:rsidRPr="006D26BB" w:rsidRDefault="00CA1244" w:rsidP="00CA1244">
            <w:pPr>
              <w:spacing w:after="0" w:line="240" w:lineRule="auto"/>
              <w:jc w:val="right"/>
              <w:rPr>
                <w:rFonts w:asciiTheme="minorHAnsi" w:hAnsiTheme="minorHAnsi" w:cstheme="minorHAnsi"/>
                <w:b/>
                <w:bCs/>
                <w:color w:val="000000" w:themeColor="text1"/>
                <w:sz w:val="20"/>
                <w:szCs w:val="20"/>
              </w:rPr>
            </w:pPr>
            <w:r w:rsidRPr="006D26BB">
              <w:rPr>
                <w:rFonts w:asciiTheme="minorHAnsi" w:hAnsiTheme="minorHAnsi" w:cstheme="minorHAnsi"/>
                <w:b/>
                <w:bCs/>
                <w:color w:val="000000"/>
                <w:sz w:val="20"/>
                <w:szCs w:val="20"/>
              </w:rPr>
              <w:t xml:space="preserve">   20,901 </w:t>
            </w:r>
          </w:p>
        </w:tc>
        <w:tc>
          <w:tcPr>
            <w:tcW w:w="1504" w:type="dxa"/>
            <w:tcBorders>
              <w:top w:val="nil"/>
              <w:left w:val="nil"/>
              <w:bottom w:val="nil"/>
              <w:right w:val="nil"/>
            </w:tcBorders>
            <w:shd w:val="clear" w:color="000000" w:fill="FFFFFF"/>
            <w:vAlign w:val="bottom"/>
            <w:hideMark/>
          </w:tcPr>
          <w:p w14:paraId="27448B43" w14:textId="544A4750" w:rsidR="00CA1244" w:rsidRPr="006D26BB" w:rsidRDefault="00CA1244" w:rsidP="00CA1244">
            <w:pPr>
              <w:spacing w:after="0" w:line="240" w:lineRule="auto"/>
              <w:jc w:val="right"/>
              <w:rPr>
                <w:rFonts w:asciiTheme="minorHAnsi" w:hAnsiTheme="minorHAnsi" w:cstheme="minorHAnsi"/>
                <w:b/>
                <w:bCs/>
                <w:color w:val="000000" w:themeColor="text1"/>
                <w:sz w:val="20"/>
                <w:szCs w:val="20"/>
              </w:rPr>
            </w:pPr>
            <w:r w:rsidRPr="006D26BB">
              <w:rPr>
                <w:rFonts w:asciiTheme="minorHAnsi" w:hAnsiTheme="minorHAnsi" w:cstheme="minorHAnsi"/>
                <w:b/>
                <w:bCs/>
                <w:color w:val="000000"/>
                <w:sz w:val="20"/>
                <w:szCs w:val="20"/>
              </w:rPr>
              <w:t xml:space="preserve">       7</w:t>
            </w:r>
            <w:r w:rsidR="0049527B">
              <w:rPr>
                <w:rFonts w:asciiTheme="minorHAnsi" w:hAnsiTheme="minorHAnsi" w:cstheme="minorHAnsi"/>
                <w:b/>
                <w:bCs/>
                <w:color w:val="000000"/>
                <w:sz w:val="20"/>
                <w:szCs w:val="20"/>
              </w:rPr>
              <w:t>29</w:t>
            </w:r>
            <w:r w:rsidRPr="006D26BB">
              <w:rPr>
                <w:rFonts w:asciiTheme="minorHAnsi" w:hAnsiTheme="minorHAnsi" w:cstheme="minorHAnsi"/>
                <w:b/>
                <w:bCs/>
                <w:color w:val="000000"/>
                <w:sz w:val="20"/>
                <w:szCs w:val="20"/>
              </w:rPr>
              <w:t xml:space="preserve"> </w:t>
            </w:r>
          </w:p>
        </w:tc>
        <w:tc>
          <w:tcPr>
            <w:tcW w:w="831" w:type="dxa"/>
            <w:tcBorders>
              <w:top w:val="nil"/>
              <w:left w:val="nil"/>
              <w:bottom w:val="nil"/>
              <w:right w:val="nil"/>
            </w:tcBorders>
            <w:shd w:val="clear" w:color="000000" w:fill="FFFFFF"/>
            <w:noWrap/>
            <w:vAlign w:val="bottom"/>
            <w:hideMark/>
          </w:tcPr>
          <w:p w14:paraId="0B9F4B6E" w14:textId="218ECAF4" w:rsidR="00CA1244" w:rsidRPr="006D26BB" w:rsidRDefault="00CA1244" w:rsidP="00CA1244">
            <w:pPr>
              <w:spacing w:after="0" w:line="240" w:lineRule="auto"/>
              <w:jc w:val="right"/>
              <w:rPr>
                <w:rFonts w:asciiTheme="minorHAnsi" w:hAnsiTheme="minorHAnsi" w:cstheme="minorHAnsi"/>
                <w:b/>
                <w:bCs/>
                <w:color w:val="000000" w:themeColor="text1"/>
                <w:sz w:val="20"/>
                <w:szCs w:val="20"/>
              </w:rPr>
            </w:pPr>
            <w:r w:rsidRPr="006D26BB">
              <w:rPr>
                <w:rFonts w:asciiTheme="minorHAnsi" w:hAnsiTheme="minorHAnsi" w:cstheme="minorHAnsi"/>
                <w:b/>
                <w:bCs/>
                <w:color w:val="000000"/>
                <w:sz w:val="20"/>
                <w:szCs w:val="20"/>
              </w:rPr>
              <w:t>3%</w:t>
            </w:r>
          </w:p>
        </w:tc>
      </w:tr>
      <w:tr w:rsidR="00CA1244" w:rsidRPr="006D26BB" w14:paraId="0381B1C3" w14:textId="77777777" w:rsidTr="00997EF7">
        <w:trPr>
          <w:trHeight w:val="131"/>
        </w:trPr>
        <w:tc>
          <w:tcPr>
            <w:tcW w:w="3730" w:type="dxa"/>
            <w:tcBorders>
              <w:top w:val="nil"/>
              <w:left w:val="nil"/>
              <w:bottom w:val="nil"/>
              <w:right w:val="nil"/>
            </w:tcBorders>
            <w:shd w:val="clear" w:color="000000" w:fill="FFFFFF"/>
            <w:noWrap/>
            <w:vAlign w:val="center"/>
            <w:hideMark/>
          </w:tcPr>
          <w:p w14:paraId="7A5342A6" w14:textId="77777777" w:rsidR="00CA1244" w:rsidRPr="006D26BB" w:rsidRDefault="00CA1244" w:rsidP="00CA1244">
            <w:pPr>
              <w:spacing w:after="0" w:line="240" w:lineRule="auto"/>
              <w:rPr>
                <w:rFonts w:asciiTheme="minorHAnsi" w:hAnsiTheme="minorHAnsi" w:cstheme="minorHAnsi"/>
                <w:bCs/>
                <w:color w:val="000000" w:themeColor="text1"/>
                <w:sz w:val="20"/>
                <w:szCs w:val="20"/>
              </w:rPr>
            </w:pPr>
            <w:r w:rsidRPr="006D26BB">
              <w:rPr>
                <w:rFonts w:asciiTheme="minorHAnsi" w:hAnsiTheme="minorHAnsi" w:cstheme="minorHAnsi"/>
                <w:bCs/>
                <w:color w:val="000000" w:themeColor="text1"/>
                <w:sz w:val="20"/>
                <w:szCs w:val="20"/>
              </w:rPr>
              <w:t>Administrative expenses</w:t>
            </w:r>
          </w:p>
        </w:tc>
        <w:tc>
          <w:tcPr>
            <w:tcW w:w="1503" w:type="dxa"/>
            <w:tcBorders>
              <w:top w:val="nil"/>
              <w:left w:val="nil"/>
              <w:bottom w:val="single" w:sz="8" w:space="0" w:color="auto"/>
              <w:right w:val="nil"/>
            </w:tcBorders>
            <w:shd w:val="clear" w:color="000000" w:fill="FFFFFF"/>
            <w:vAlign w:val="bottom"/>
            <w:hideMark/>
          </w:tcPr>
          <w:p w14:paraId="6730CB38" w14:textId="409EB6BB" w:rsidR="00CA1244" w:rsidRPr="006D26BB" w:rsidRDefault="00CA1244" w:rsidP="00CA1244">
            <w:pPr>
              <w:spacing w:after="0" w:line="240" w:lineRule="auto"/>
              <w:jc w:val="right"/>
              <w:rPr>
                <w:rFonts w:asciiTheme="minorHAnsi" w:hAnsiTheme="minorHAnsi" w:cstheme="minorHAnsi"/>
                <w:bCs/>
                <w:color w:val="000000" w:themeColor="text1"/>
                <w:sz w:val="20"/>
                <w:szCs w:val="20"/>
              </w:rPr>
            </w:pPr>
            <w:r w:rsidRPr="006D26BB">
              <w:rPr>
                <w:rFonts w:asciiTheme="minorHAnsi" w:hAnsiTheme="minorHAnsi" w:cstheme="minorHAnsi"/>
                <w:color w:val="000000"/>
                <w:sz w:val="20"/>
                <w:szCs w:val="20"/>
              </w:rPr>
              <w:t xml:space="preserve">  (10,39</w:t>
            </w:r>
            <w:r w:rsidR="0049527B">
              <w:rPr>
                <w:rFonts w:asciiTheme="minorHAnsi" w:hAnsiTheme="minorHAnsi" w:cstheme="minorHAnsi"/>
                <w:color w:val="000000"/>
                <w:sz w:val="20"/>
                <w:szCs w:val="20"/>
              </w:rPr>
              <w:t>7</w:t>
            </w:r>
            <w:r w:rsidRPr="006D26BB">
              <w:rPr>
                <w:rFonts w:asciiTheme="minorHAnsi" w:hAnsiTheme="minorHAnsi" w:cstheme="minorHAnsi"/>
                <w:color w:val="000000"/>
                <w:sz w:val="20"/>
                <w:szCs w:val="20"/>
              </w:rPr>
              <w:t>)</w:t>
            </w:r>
          </w:p>
        </w:tc>
        <w:tc>
          <w:tcPr>
            <w:tcW w:w="1504" w:type="dxa"/>
            <w:tcBorders>
              <w:top w:val="nil"/>
              <w:left w:val="nil"/>
              <w:bottom w:val="single" w:sz="8" w:space="0" w:color="auto"/>
              <w:right w:val="nil"/>
            </w:tcBorders>
            <w:shd w:val="clear" w:color="000000" w:fill="FFFFFF"/>
            <w:vAlign w:val="bottom"/>
            <w:hideMark/>
          </w:tcPr>
          <w:p w14:paraId="55F1195B" w14:textId="4AB18C01" w:rsidR="00CA1244" w:rsidRPr="006D26BB" w:rsidRDefault="00CA1244" w:rsidP="00CA1244">
            <w:pPr>
              <w:spacing w:after="0" w:line="240" w:lineRule="auto"/>
              <w:jc w:val="right"/>
              <w:rPr>
                <w:rFonts w:asciiTheme="minorHAnsi" w:hAnsiTheme="minorHAnsi" w:cstheme="minorHAnsi"/>
                <w:bCs/>
                <w:color w:val="000000" w:themeColor="text1"/>
                <w:sz w:val="20"/>
                <w:szCs w:val="20"/>
              </w:rPr>
            </w:pPr>
            <w:r w:rsidRPr="006D26BB">
              <w:rPr>
                <w:rFonts w:asciiTheme="minorHAnsi" w:hAnsiTheme="minorHAnsi" w:cstheme="minorHAnsi"/>
                <w:color w:val="000000"/>
                <w:sz w:val="20"/>
                <w:szCs w:val="20"/>
              </w:rPr>
              <w:t xml:space="preserve">    (9,669)</w:t>
            </w:r>
          </w:p>
        </w:tc>
        <w:tc>
          <w:tcPr>
            <w:tcW w:w="1504" w:type="dxa"/>
            <w:tcBorders>
              <w:top w:val="nil"/>
              <w:left w:val="nil"/>
              <w:bottom w:val="single" w:sz="8" w:space="0" w:color="auto"/>
              <w:right w:val="nil"/>
            </w:tcBorders>
            <w:shd w:val="clear" w:color="000000" w:fill="FFFFFF"/>
            <w:vAlign w:val="bottom"/>
            <w:hideMark/>
          </w:tcPr>
          <w:p w14:paraId="1D66951F" w14:textId="23D508A4" w:rsidR="00CA1244" w:rsidRPr="006D26BB" w:rsidRDefault="00CA1244" w:rsidP="00CA1244">
            <w:pPr>
              <w:spacing w:after="0" w:line="240" w:lineRule="auto"/>
              <w:jc w:val="right"/>
              <w:rPr>
                <w:rFonts w:asciiTheme="minorHAnsi" w:hAnsiTheme="minorHAnsi" w:cstheme="minorHAnsi"/>
                <w:bCs/>
                <w:color w:val="000000" w:themeColor="text1"/>
                <w:sz w:val="20"/>
                <w:szCs w:val="20"/>
              </w:rPr>
            </w:pPr>
            <w:r w:rsidRPr="006D26BB">
              <w:rPr>
                <w:rFonts w:asciiTheme="minorHAnsi" w:hAnsiTheme="minorHAnsi" w:cstheme="minorHAnsi"/>
                <w:color w:val="000000"/>
                <w:sz w:val="20"/>
                <w:szCs w:val="20"/>
              </w:rPr>
              <w:t xml:space="preserve">     (72</w:t>
            </w:r>
            <w:r w:rsidR="0049527B">
              <w:rPr>
                <w:rFonts w:asciiTheme="minorHAnsi" w:hAnsiTheme="minorHAnsi" w:cstheme="minorHAnsi"/>
                <w:color w:val="000000"/>
                <w:sz w:val="20"/>
                <w:szCs w:val="20"/>
              </w:rPr>
              <w:t>8</w:t>
            </w:r>
            <w:r w:rsidRPr="006D26BB">
              <w:rPr>
                <w:rFonts w:asciiTheme="minorHAnsi" w:hAnsiTheme="minorHAnsi" w:cstheme="minorHAnsi"/>
                <w:color w:val="000000"/>
                <w:sz w:val="20"/>
                <w:szCs w:val="20"/>
              </w:rPr>
              <w:t>)</w:t>
            </w:r>
          </w:p>
        </w:tc>
        <w:tc>
          <w:tcPr>
            <w:tcW w:w="831" w:type="dxa"/>
            <w:tcBorders>
              <w:top w:val="nil"/>
              <w:left w:val="nil"/>
              <w:bottom w:val="nil"/>
              <w:right w:val="nil"/>
            </w:tcBorders>
            <w:shd w:val="clear" w:color="000000" w:fill="FFFFFF"/>
            <w:noWrap/>
            <w:vAlign w:val="bottom"/>
            <w:hideMark/>
          </w:tcPr>
          <w:p w14:paraId="037390AB" w14:textId="0A7F4958" w:rsidR="00CA1244" w:rsidRPr="006D26BB" w:rsidRDefault="00CA1244" w:rsidP="00CA1244">
            <w:pPr>
              <w:spacing w:after="0" w:line="240" w:lineRule="auto"/>
              <w:jc w:val="right"/>
              <w:rPr>
                <w:rFonts w:asciiTheme="minorHAnsi" w:hAnsiTheme="minorHAnsi" w:cstheme="minorHAnsi"/>
                <w:bCs/>
                <w:color w:val="000000" w:themeColor="text1"/>
                <w:sz w:val="20"/>
                <w:szCs w:val="20"/>
              </w:rPr>
            </w:pPr>
            <w:r w:rsidRPr="006D26BB">
              <w:rPr>
                <w:rFonts w:asciiTheme="minorHAnsi" w:hAnsiTheme="minorHAnsi" w:cstheme="minorHAnsi"/>
                <w:color w:val="000000"/>
                <w:sz w:val="20"/>
                <w:szCs w:val="20"/>
              </w:rPr>
              <w:t>8%</w:t>
            </w:r>
          </w:p>
        </w:tc>
      </w:tr>
      <w:tr w:rsidR="00FF1C37" w:rsidRPr="006D26BB" w14:paraId="21372F62" w14:textId="77777777" w:rsidTr="00997EF7">
        <w:trPr>
          <w:trHeight w:val="131"/>
        </w:trPr>
        <w:tc>
          <w:tcPr>
            <w:tcW w:w="3730" w:type="dxa"/>
            <w:tcBorders>
              <w:top w:val="single" w:sz="8" w:space="0" w:color="auto"/>
              <w:left w:val="nil"/>
              <w:bottom w:val="single" w:sz="8" w:space="0" w:color="auto"/>
              <w:right w:val="nil"/>
            </w:tcBorders>
            <w:shd w:val="clear" w:color="000000" w:fill="FFFFFF"/>
            <w:noWrap/>
            <w:vAlign w:val="center"/>
            <w:hideMark/>
          </w:tcPr>
          <w:p w14:paraId="218D3DD0" w14:textId="77777777" w:rsidR="00FF1C37" w:rsidRPr="006D26BB" w:rsidRDefault="00FF1C37" w:rsidP="00FF1C37">
            <w:pPr>
              <w:spacing w:after="0" w:line="240" w:lineRule="auto"/>
              <w:rPr>
                <w:rFonts w:asciiTheme="minorHAnsi" w:hAnsiTheme="minorHAnsi" w:cstheme="minorHAnsi"/>
                <w:b/>
                <w:bCs/>
                <w:color w:val="000000" w:themeColor="text1"/>
                <w:sz w:val="20"/>
                <w:szCs w:val="20"/>
              </w:rPr>
            </w:pPr>
            <w:r w:rsidRPr="006D26BB">
              <w:rPr>
                <w:rFonts w:asciiTheme="minorHAnsi" w:hAnsiTheme="minorHAnsi" w:cstheme="minorHAnsi"/>
                <w:b/>
                <w:bCs/>
                <w:color w:val="000000" w:themeColor="text1"/>
                <w:sz w:val="20"/>
                <w:szCs w:val="20"/>
              </w:rPr>
              <w:t>Adjusted EBITDA</w:t>
            </w:r>
          </w:p>
        </w:tc>
        <w:tc>
          <w:tcPr>
            <w:tcW w:w="1503" w:type="dxa"/>
            <w:tcBorders>
              <w:top w:val="nil"/>
              <w:left w:val="nil"/>
              <w:bottom w:val="single" w:sz="8" w:space="0" w:color="auto"/>
              <w:right w:val="nil"/>
            </w:tcBorders>
            <w:shd w:val="clear" w:color="000000" w:fill="FFFFFF"/>
            <w:vAlign w:val="bottom"/>
            <w:hideMark/>
          </w:tcPr>
          <w:p w14:paraId="42892257" w14:textId="3EB933DA" w:rsidR="00FF1C37" w:rsidRPr="006D26BB" w:rsidRDefault="00FF1C37" w:rsidP="00FF1C37">
            <w:pPr>
              <w:spacing w:after="0" w:line="240" w:lineRule="auto"/>
              <w:jc w:val="right"/>
              <w:rPr>
                <w:rFonts w:asciiTheme="minorHAnsi" w:hAnsiTheme="minorHAnsi" w:cstheme="minorHAnsi"/>
                <w:b/>
                <w:bCs/>
                <w:color w:val="000000" w:themeColor="text1"/>
                <w:sz w:val="20"/>
                <w:szCs w:val="20"/>
              </w:rPr>
            </w:pPr>
            <w:r w:rsidRPr="006D26BB">
              <w:rPr>
                <w:rFonts w:asciiTheme="minorHAnsi" w:hAnsiTheme="minorHAnsi" w:cstheme="minorHAnsi"/>
                <w:b/>
                <w:bCs/>
                <w:color w:val="000000"/>
                <w:sz w:val="20"/>
                <w:szCs w:val="20"/>
              </w:rPr>
              <w:t xml:space="preserve">   11,23</w:t>
            </w:r>
            <w:r w:rsidR="0049527B">
              <w:rPr>
                <w:rFonts w:asciiTheme="minorHAnsi" w:hAnsiTheme="minorHAnsi" w:cstheme="minorHAnsi"/>
                <w:b/>
                <w:bCs/>
                <w:color w:val="000000"/>
                <w:sz w:val="20"/>
                <w:szCs w:val="20"/>
              </w:rPr>
              <w:t>3</w:t>
            </w:r>
            <w:r w:rsidRPr="006D26BB">
              <w:rPr>
                <w:rFonts w:asciiTheme="minorHAnsi" w:hAnsiTheme="minorHAnsi" w:cstheme="minorHAnsi"/>
                <w:b/>
                <w:bCs/>
                <w:color w:val="000000"/>
                <w:sz w:val="20"/>
                <w:szCs w:val="20"/>
              </w:rPr>
              <w:t xml:space="preserve"> </w:t>
            </w:r>
          </w:p>
        </w:tc>
        <w:tc>
          <w:tcPr>
            <w:tcW w:w="1504" w:type="dxa"/>
            <w:tcBorders>
              <w:top w:val="nil"/>
              <w:left w:val="nil"/>
              <w:bottom w:val="single" w:sz="8" w:space="0" w:color="auto"/>
              <w:right w:val="nil"/>
            </w:tcBorders>
            <w:shd w:val="clear" w:color="000000" w:fill="FFFFFF"/>
            <w:vAlign w:val="bottom"/>
            <w:hideMark/>
          </w:tcPr>
          <w:p w14:paraId="21F72BEA" w14:textId="1D7701B9" w:rsidR="00FF1C37" w:rsidRPr="006D26BB" w:rsidRDefault="00FF1C37" w:rsidP="00FF1C37">
            <w:pPr>
              <w:spacing w:after="0" w:line="240" w:lineRule="auto"/>
              <w:jc w:val="right"/>
              <w:rPr>
                <w:rFonts w:asciiTheme="minorHAnsi" w:hAnsiTheme="minorHAnsi" w:cstheme="minorHAnsi"/>
                <w:b/>
                <w:bCs/>
                <w:color w:val="000000" w:themeColor="text1"/>
                <w:sz w:val="20"/>
                <w:szCs w:val="20"/>
              </w:rPr>
            </w:pPr>
            <w:r w:rsidRPr="006D26BB">
              <w:rPr>
                <w:rFonts w:asciiTheme="minorHAnsi" w:hAnsiTheme="minorHAnsi" w:cstheme="minorHAnsi"/>
                <w:b/>
                <w:bCs/>
                <w:color w:val="000000"/>
                <w:sz w:val="20"/>
                <w:szCs w:val="20"/>
              </w:rPr>
              <w:t xml:space="preserve">   11,232 </w:t>
            </w:r>
          </w:p>
        </w:tc>
        <w:tc>
          <w:tcPr>
            <w:tcW w:w="1504" w:type="dxa"/>
            <w:tcBorders>
              <w:top w:val="nil"/>
              <w:left w:val="nil"/>
              <w:bottom w:val="single" w:sz="8" w:space="0" w:color="auto"/>
              <w:right w:val="nil"/>
            </w:tcBorders>
            <w:shd w:val="clear" w:color="000000" w:fill="FFFFFF"/>
            <w:vAlign w:val="bottom"/>
            <w:hideMark/>
          </w:tcPr>
          <w:p w14:paraId="225C6E5A" w14:textId="6206F57B" w:rsidR="00FF1C37" w:rsidRPr="006D26BB" w:rsidRDefault="00FF1C37" w:rsidP="00FF1C37">
            <w:pPr>
              <w:spacing w:after="0" w:line="240" w:lineRule="auto"/>
              <w:jc w:val="right"/>
              <w:rPr>
                <w:rFonts w:asciiTheme="minorHAnsi" w:hAnsiTheme="minorHAnsi" w:cstheme="minorHAnsi"/>
                <w:b/>
                <w:bCs/>
                <w:color w:val="000000" w:themeColor="text1"/>
                <w:sz w:val="20"/>
                <w:szCs w:val="20"/>
              </w:rPr>
            </w:pPr>
            <w:r w:rsidRPr="006D26BB">
              <w:rPr>
                <w:rFonts w:asciiTheme="minorHAnsi" w:hAnsiTheme="minorHAnsi" w:cstheme="minorHAnsi"/>
                <w:b/>
                <w:bCs/>
                <w:color w:val="000000"/>
                <w:sz w:val="20"/>
                <w:szCs w:val="20"/>
              </w:rPr>
              <w:t xml:space="preserve">           </w:t>
            </w:r>
            <w:r w:rsidR="0049527B">
              <w:rPr>
                <w:rFonts w:asciiTheme="minorHAnsi" w:hAnsiTheme="minorHAnsi" w:cstheme="minorHAnsi"/>
                <w:b/>
                <w:bCs/>
                <w:color w:val="000000"/>
                <w:sz w:val="20"/>
                <w:szCs w:val="20"/>
              </w:rPr>
              <w:t>1</w:t>
            </w:r>
            <w:r w:rsidRPr="006D26BB">
              <w:rPr>
                <w:rFonts w:asciiTheme="minorHAnsi" w:hAnsiTheme="minorHAnsi" w:cstheme="minorHAnsi"/>
                <w:b/>
                <w:bCs/>
                <w:color w:val="000000"/>
                <w:sz w:val="20"/>
                <w:szCs w:val="20"/>
              </w:rPr>
              <w:t xml:space="preserve"> </w:t>
            </w:r>
          </w:p>
        </w:tc>
        <w:tc>
          <w:tcPr>
            <w:tcW w:w="831" w:type="dxa"/>
            <w:tcBorders>
              <w:top w:val="single" w:sz="8" w:space="0" w:color="auto"/>
              <w:left w:val="nil"/>
              <w:bottom w:val="single" w:sz="8" w:space="0" w:color="auto"/>
              <w:right w:val="nil"/>
            </w:tcBorders>
            <w:shd w:val="clear" w:color="000000" w:fill="FFFFFF"/>
            <w:noWrap/>
            <w:vAlign w:val="bottom"/>
            <w:hideMark/>
          </w:tcPr>
          <w:p w14:paraId="4F022AF7" w14:textId="37FF39BF" w:rsidR="00FF1C37" w:rsidRPr="006D26BB" w:rsidRDefault="00FF1C37" w:rsidP="00FF1C37">
            <w:pPr>
              <w:spacing w:after="0" w:line="240" w:lineRule="auto"/>
              <w:jc w:val="right"/>
              <w:rPr>
                <w:rFonts w:asciiTheme="minorHAnsi" w:hAnsiTheme="minorHAnsi" w:cstheme="minorHAnsi"/>
                <w:b/>
                <w:bCs/>
                <w:color w:val="000000" w:themeColor="text1"/>
                <w:sz w:val="20"/>
                <w:szCs w:val="20"/>
              </w:rPr>
            </w:pPr>
            <w:r w:rsidRPr="006D26BB">
              <w:rPr>
                <w:rFonts w:asciiTheme="minorHAnsi" w:hAnsiTheme="minorHAnsi" w:cstheme="minorHAnsi"/>
                <w:b/>
                <w:bCs/>
                <w:color w:val="000000"/>
                <w:sz w:val="20"/>
                <w:szCs w:val="20"/>
              </w:rPr>
              <w:t>0%</w:t>
            </w:r>
          </w:p>
        </w:tc>
      </w:tr>
      <w:tr w:rsidR="00FF1C37" w:rsidRPr="006D26BB" w14:paraId="64D01E18" w14:textId="77777777" w:rsidTr="00997EF7">
        <w:trPr>
          <w:trHeight w:val="124"/>
        </w:trPr>
        <w:tc>
          <w:tcPr>
            <w:tcW w:w="3730" w:type="dxa"/>
            <w:tcBorders>
              <w:top w:val="nil"/>
              <w:left w:val="nil"/>
              <w:bottom w:val="nil"/>
              <w:right w:val="nil"/>
            </w:tcBorders>
            <w:shd w:val="clear" w:color="000000" w:fill="FFFFFF"/>
            <w:noWrap/>
            <w:vAlign w:val="center"/>
            <w:hideMark/>
          </w:tcPr>
          <w:p w14:paraId="5D217A6C" w14:textId="77777777" w:rsidR="00FF1C37" w:rsidRPr="006D26BB" w:rsidRDefault="00FF1C37" w:rsidP="00FF1C37">
            <w:pPr>
              <w:spacing w:after="0" w:line="240" w:lineRule="auto"/>
              <w:rPr>
                <w:rFonts w:asciiTheme="minorHAnsi" w:hAnsiTheme="minorHAnsi" w:cstheme="minorHAnsi"/>
                <w:bCs/>
                <w:color w:val="000000" w:themeColor="text1"/>
                <w:sz w:val="20"/>
                <w:szCs w:val="20"/>
              </w:rPr>
            </w:pPr>
            <w:r w:rsidRPr="006D26BB">
              <w:rPr>
                <w:rFonts w:asciiTheme="minorHAnsi" w:hAnsiTheme="minorHAnsi" w:cstheme="minorHAnsi"/>
                <w:bCs/>
                <w:color w:val="000000" w:themeColor="text1"/>
                <w:sz w:val="20"/>
                <w:szCs w:val="20"/>
              </w:rPr>
              <w:t>Depreciation &amp; amortisation</w:t>
            </w:r>
          </w:p>
        </w:tc>
        <w:tc>
          <w:tcPr>
            <w:tcW w:w="1503" w:type="dxa"/>
            <w:tcBorders>
              <w:top w:val="nil"/>
              <w:left w:val="nil"/>
              <w:bottom w:val="nil"/>
              <w:right w:val="nil"/>
            </w:tcBorders>
            <w:shd w:val="clear" w:color="000000" w:fill="FFFFFF"/>
            <w:vAlign w:val="bottom"/>
            <w:hideMark/>
          </w:tcPr>
          <w:p w14:paraId="6862676F" w14:textId="55571340" w:rsidR="00FF1C37" w:rsidRPr="006D26BB" w:rsidRDefault="00FF1C37" w:rsidP="00FF1C37">
            <w:pPr>
              <w:spacing w:after="0" w:line="240" w:lineRule="auto"/>
              <w:jc w:val="right"/>
              <w:rPr>
                <w:rFonts w:asciiTheme="minorHAnsi" w:hAnsiTheme="minorHAnsi" w:cstheme="minorHAnsi"/>
                <w:bCs/>
                <w:color w:val="000000" w:themeColor="text1"/>
                <w:sz w:val="20"/>
                <w:szCs w:val="20"/>
              </w:rPr>
            </w:pPr>
            <w:r w:rsidRPr="006D26BB">
              <w:rPr>
                <w:rFonts w:asciiTheme="minorHAnsi" w:hAnsiTheme="minorHAnsi" w:cstheme="minorHAnsi"/>
                <w:color w:val="000000"/>
                <w:sz w:val="20"/>
                <w:szCs w:val="20"/>
              </w:rPr>
              <w:t xml:space="preserve">    (1,136)</w:t>
            </w:r>
          </w:p>
        </w:tc>
        <w:tc>
          <w:tcPr>
            <w:tcW w:w="1504" w:type="dxa"/>
            <w:tcBorders>
              <w:top w:val="nil"/>
              <w:left w:val="nil"/>
              <w:bottom w:val="nil"/>
              <w:right w:val="nil"/>
            </w:tcBorders>
            <w:shd w:val="clear" w:color="000000" w:fill="FFFFFF"/>
            <w:vAlign w:val="bottom"/>
            <w:hideMark/>
          </w:tcPr>
          <w:p w14:paraId="2227043D" w14:textId="088A674E" w:rsidR="00FF1C37" w:rsidRPr="006D26BB" w:rsidRDefault="00FF1C37" w:rsidP="00FF1C37">
            <w:pPr>
              <w:spacing w:after="0" w:line="240" w:lineRule="auto"/>
              <w:jc w:val="right"/>
              <w:rPr>
                <w:rFonts w:asciiTheme="minorHAnsi" w:hAnsiTheme="minorHAnsi" w:cstheme="minorHAnsi"/>
                <w:bCs/>
                <w:color w:val="000000" w:themeColor="text1"/>
                <w:sz w:val="20"/>
                <w:szCs w:val="20"/>
              </w:rPr>
            </w:pPr>
            <w:r w:rsidRPr="006D26BB">
              <w:rPr>
                <w:rFonts w:asciiTheme="minorHAnsi" w:hAnsiTheme="minorHAnsi" w:cstheme="minorHAnsi"/>
                <w:color w:val="000000"/>
                <w:sz w:val="20"/>
                <w:szCs w:val="20"/>
              </w:rPr>
              <w:t xml:space="preserve">       (957)</w:t>
            </w:r>
          </w:p>
        </w:tc>
        <w:tc>
          <w:tcPr>
            <w:tcW w:w="1504" w:type="dxa"/>
            <w:tcBorders>
              <w:top w:val="nil"/>
              <w:left w:val="nil"/>
              <w:bottom w:val="nil"/>
              <w:right w:val="nil"/>
            </w:tcBorders>
            <w:shd w:val="clear" w:color="000000" w:fill="FFFFFF"/>
            <w:vAlign w:val="bottom"/>
            <w:hideMark/>
          </w:tcPr>
          <w:p w14:paraId="4DDA55C0" w14:textId="40A9C1C6" w:rsidR="00FF1C37" w:rsidRPr="006D26BB" w:rsidRDefault="00FF1C37" w:rsidP="00FF1C37">
            <w:pPr>
              <w:spacing w:after="0" w:line="240" w:lineRule="auto"/>
              <w:jc w:val="right"/>
              <w:rPr>
                <w:rFonts w:asciiTheme="minorHAnsi" w:hAnsiTheme="minorHAnsi" w:cstheme="minorHAnsi"/>
                <w:bCs/>
                <w:color w:val="000000" w:themeColor="text1"/>
                <w:sz w:val="20"/>
                <w:szCs w:val="20"/>
              </w:rPr>
            </w:pPr>
            <w:r w:rsidRPr="006D26BB">
              <w:rPr>
                <w:rFonts w:asciiTheme="minorHAnsi" w:hAnsiTheme="minorHAnsi" w:cstheme="minorHAnsi"/>
                <w:color w:val="000000"/>
                <w:sz w:val="20"/>
                <w:szCs w:val="20"/>
              </w:rPr>
              <w:t xml:space="preserve">     (179)</w:t>
            </w:r>
          </w:p>
        </w:tc>
        <w:tc>
          <w:tcPr>
            <w:tcW w:w="831" w:type="dxa"/>
            <w:tcBorders>
              <w:top w:val="nil"/>
              <w:left w:val="nil"/>
              <w:bottom w:val="nil"/>
              <w:right w:val="nil"/>
            </w:tcBorders>
            <w:shd w:val="clear" w:color="000000" w:fill="FFFFFF"/>
            <w:noWrap/>
            <w:vAlign w:val="bottom"/>
            <w:hideMark/>
          </w:tcPr>
          <w:p w14:paraId="4C188C6D" w14:textId="4B7BA9BD" w:rsidR="00FF1C37" w:rsidRPr="006D26BB" w:rsidRDefault="00FF1C37" w:rsidP="00FF1C37">
            <w:pPr>
              <w:spacing w:after="0" w:line="240" w:lineRule="auto"/>
              <w:jc w:val="right"/>
              <w:rPr>
                <w:rFonts w:asciiTheme="minorHAnsi" w:hAnsiTheme="minorHAnsi" w:cstheme="minorHAnsi"/>
                <w:bCs/>
                <w:color w:val="000000" w:themeColor="text1"/>
                <w:sz w:val="20"/>
                <w:szCs w:val="20"/>
              </w:rPr>
            </w:pPr>
            <w:r w:rsidRPr="006D26BB">
              <w:rPr>
                <w:rFonts w:asciiTheme="minorHAnsi" w:hAnsiTheme="minorHAnsi" w:cstheme="minorHAnsi"/>
                <w:color w:val="000000"/>
                <w:sz w:val="20"/>
                <w:szCs w:val="20"/>
              </w:rPr>
              <w:t>19%</w:t>
            </w:r>
          </w:p>
        </w:tc>
      </w:tr>
      <w:tr w:rsidR="00FF1C37" w:rsidRPr="006D26BB" w14:paraId="75CE0CA4" w14:textId="77777777" w:rsidTr="00997EF7">
        <w:trPr>
          <w:trHeight w:val="131"/>
        </w:trPr>
        <w:tc>
          <w:tcPr>
            <w:tcW w:w="3730" w:type="dxa"/>
            <w:tcBorders>
              <w:top w:val="nil"/>
              <w:left w:val="nil"/>
              <w:bottom w:val="nil"/>
              <w:right w:val="nil"/>
            </w:tcBorders>
            <w:shd w:val="clear" w:color="000000" w:fill="FFFFFF"/>
            <w:noWrap/>
            <w:vAlign w:val="center"/>
            <w:hideMark/>
          </w:tcPr>
          <w:p w14:paraId="1F1F5929" w14:textId="77777777" w:rsidR="00FF1C37" w:rsidRPr="006D26BB" w:rsidRDefault="00FF1C37" w:rsidP="00FF1C37">
            <w:pPr>
              <w:spacing w:after="0" w:line="240" w:lineRule="auto"/>
              <w:rPr>
                <w:rFonts w:asciiTheme="minorHAnsi" w:hAnsiTheme="minorHAnsi" w:cstheme="minorHAnsi"/>
                <w:bCs/>
                <w:color w:val="000000" w:themeColor="text1"/>
                <w:sz w:val="20"/>
                <w:szCs w:val="20"/>
              </w:rPr>
            </w:pPr>
            <w:r w:rsidRPr="006D26BB">
              <w:rPr>
                <w:rFonts w:asciiTheme="minorHAnsi" w:hAnsiTheme="minorHAnsi" w:cstheme="minorHAnsi"/>
                <w:bCs/>
                <w:color w:val="000000" w:themeColor="text1"/>
                <w:sz w:val="20"/>
                <w:szCs w:val="20"/>
              </w:rPr>
              <w:t>Finance expense</w:t>
            </w:r>
          </w:p>
        </w:tc>
        <w:tc>
          <w:tcPr>
            <w:tcW w:w="1503" w:type="dxa"/>
            <w:tcBorders>
              <w:top w:val="nil"/>
              <w:left w:val="nil"/>
              <w:bottom w:val="single" w:sz="8" w:space="0" w:color="auto"/>
              <w:right w:val="nil"/>
            </w:tcBorders>
            <w:shd w:val="clear" w:color="000000" w:fill="FFFFFF"/>
            <w:vAlign w:val="bottom"/>
            <w:hideMark/>
          </w:tcPr>
          <w:p w14:paraId="10AC3697" w14:textId="622B8536" w:rsidR="00FF1C37" w:rsidRPr="006D26BB" w:rsidRDefault="00FF1C37" w:rsidP="00FF1C37">
            <w:pPr>
              <w:spacing w:after="0" w:line="240" w:lineRule="auto"/>
              <w:jc w:val="right"/>
              <w:rPr>
                <w:rFonts w:asciiTheme="minorHAnsi" w:hAnsiTheme="minorHAnsi" w:cstheme="minorHAnsi"/>
                <w:bCs/>
                <w:color w:val="000000" w:themeColor="text1"/>
                <w:sz w:val="20"/>
                <w:szCs w:val="20"/>
              </w:rPr>
            </w:pPr>
            <w:r w:rsidRPr="006D26BB">
              <w:rPr>
                <w:rFonts w:asciiTheme="minorHAnsi" w:hAnsiTheme="minorHAnsi" w:cstheme="minorHAnsi"/>
                <w:color w:val="000000"/>
                <w:sz w:val="20"/>
                <w:szCs w:val="20"/>
              </w:rPr>
              <w:t xml:space="preserve">       (711)</w:t>
            </w:r>
          </w:p>
        </w:tc>
        <w:tc>
          <w:tcPr>
            <w:tcW w:w="1504" w:type="dxa"/>
            <w:tcBorders>
              <w:top w:val="nil"/>
              <w:left w:val="nil"/>
              <w:bottom w:val="single" w:sz="8" w:space="0" w:color="auto"/>
              <w:right w:val="nil"/>
            </w:tcBorders>
            <w:shd w:val="clear" w:color="000000" w:fill="FFFFFF"/>
            <w:vAlign w:val="bottom"/>
            <w:hideMark/>
          </w:tcPr>
          <w:p w14:paraId="39B6F747" w14:textId="3AA24262" w:rsidR="00FF1C37" w:rsidRPr="006D26BB" w:rsidRDefault="00FF1C37" w:rsidP="00FF1C37">
            <w:pPr>
              <w:spacing w:after="0" w:line="240" w:lineRule="auto"/>
              <w:jc w:val="right"/>
              <w:rPr>
                <w:rFonts w:asciiTheme="minorHAnsi" w:hAnsiTheme="minorHAnsi" w:cstheme="minorHAnsi"/>
                <w:bCs/>
                <w:color w:val="000000" w:themeColor="text1"/>
                <w:sz w:val="20"/>
                <w:szCs w:val="20"/>
              </w:rPr>
            </w:pPr>
            <w:r w:rsidRPr="006D26BB">
              <w:rPr>
                <w:rFonts w:asciiTheme="minorHAnsi" w:hAnsiTheme="minorHAnsi" w:cstheme="minorHAnsi"/>
                <w:color w:val="000000"/>
                <w:sz w:val="20"/>
                <w:szCs w:val="20"/>
              </w:rPr>
              <w:t xml:space="preserve">       (361)</w:t>
            </w:r>
          </w:p>
        </w:tc>
        <w:tc>
          <w:tcPr>
            <w:tcW w:w="1504" w:type="dxa"/>
            <w:tcBorders>
              <w:top w:val="nil"/>
              <w:left w:val="nil"/>
              <w:bottom w:val="single" w:sz="8" w:space="0" w:color="auto"/>
              <w:right w:val="nil"/>
            </w:tcBorders>
            <w:shd w:val="clear" w:color="000000" w:fill="FFFFFF"/>
            <w:vAlign w:val="bottom"/>
            <w:hideMark/>
          </w:tcPr>
          <w:p w14:paraId="3B393004" w14:textId="7DD9744D" w:rsidR="00FF1C37" w:rsidRPr="006D26BB" w:rsidRDefault="00FF1C37" w:rsidP="00FF1C37">
            <w:pPr>
              <w:spacing w:after="0" w:line="240" w:lineRule="auto"/>
              <w:jc w:val="right"/>
              <w:rPr>
                <w:rFonts w:asciiTheme="minorHAnsi" w:hAnsiTheme="minorHAnsi" w:cstheme="minorHAnsi"/>
                <w:bCs/>
                <w:color w:val="000000" w:themeColor="text1"/>
                <w:sz w:val="20"/>
                <w:szCs w:val="20"/>
              </w:rPr>
            </w:pPr>
            <w:r w:rsidRPr="006D26BB">
              <w:rPr>
                <w:rFonts w:asciiTheme="minorHAnsi" w:hAnsiTheme="minorHAnsi" w:cstheme="minorHAnsi"/>
                <w:color w:val="000000"/>
                <w:sz w:val="20"/>
                <w:szCs w:val="20"/>
              </w:rPr>
              <w:t xml:space="preserve">     (350)</w:t>
            </w:r>
          </w:p>
        </w:tc>
        <w:tc>
          <w:tcPr>
            <w:tcW w:w="831" w:type="dxa"/>
            <w:tcBorders>
              <w:top w:val="nil"/>
              <w:left w:val="nil"/>
              <w:bottom w:val="nil"/>
              <w:right w:val="nil"/>
            </w:tcBorders>
            <w:shd w:val="clear" w:color="000000" w:fill="FFFFFF"/>
            <w:noWrap/>
            <w:vAlign w:val="bottom"/>
            <w:hideMark/>
          </w:tcPr>
          <w:p w14:paraId="1BF3DF66" w14:textId="1A4FB1D9" w:rsidR="00FF1C37" w:rsidRPr="006D26BB" w:rsidRDefault="00FF1C37" w:rsidP="00FF1C37">
            <w:pPr>
              <w:spacing w:after="0" w:line="240" w:lineRule="auto"/>
              <w:jc w:val="right"/>
              <w:rPr>
                <w:rFonts w:asciiTheme="minorHAnsi" w:hAnsiTheme="minorHAnsi" w:cstheme="minorHAnsi"/>
                <w:bCs/>
                <w:color w:val="000000" w:themeColor="text1"/>
                <w:sz w:val="20"/>
                <w:szCs w:val="20"/>
              </w:rPr>
            </w:pPr>
            <w:r w:rsidRPr="006D26BB">
              <w:rPr>
                <w:rFonts w:asciiTheme="minorHAnsi" w:hAnsiTheme="minorHAnsi" w:cstheme="minorHAnsi"/>
                <w:color w:val="000000"/>
                <w:sz w:val="20"/>
                <w:szCs w:val="20"/>
              </w:rPr>
              <w:t>97%</w:t>
            </w:r>
          </w:p>
        </w:tc>
      </w:tr>
      <w:tr w:rsidR="00FF1C37" w:rsidRPr="006D26BB" w14:paraId="5B53FF21" w14:textId="77777777" w:rsidTr="00997EF7">
        <w:trPr>
          <w:trHeight w:val="131"/>
        </w:trPr>
        <w:tc>
          <w:tcPr>
            <w:tcW w:w="3730" w:type="dxa"/>
            <w:tcBorders>
              <w:top w:val="single" w:sz="8" w:space="0" w:color="auto"/>
              <w:left w:val="nil"/>
              <w:bottom w:val="single" w:sz="8" w:space="0" w:color="auto"/>
              <w:right w:val="nil"/>
            </w:tcBorders>
            <w:shd w:val="clear" w:color="000000" w:fill="FFFFFF"/>
            <w:noWrap/>
            <w:vAlign w:val="center"/>
            <w:hideMark/>
          </w:tcPr>
          <w:p w14:paraId="7CC7DF71" w14:textId="77777777" w:rsidR="00FF1C37" w:rsidRPr="006D26BB" w:rsidRDefault="00FF1C37" w:rsidP="00FF1C37">
            <w:pPr>
              <w:spacing w:after="0" w:line="240" w:lineRule="auto"/>
              <w:rPr>
                <w:rFonts w:asciiTheme="minorHAnsi" w:hAnsiTheme="minorHAnsi" w:cstheme="minorHAnsi"/>
                <w:b/>
                <w:bCs/>
                <w:color w:val="000000" w:themeColor="text1"/>
                <w:sz w:val="20"/>
                <w:szCs w:val="20"/>
              </w:rPr>
            </w:pPr>
            <w:r w:rsidRPr="006D26BB">
              <w:rPr>
                <w:rFonts w:asciiTheme="minorHAnsi" w:hAnsiTheme="minorHAnsi" w:cstheme="minorHAnsi"/>
                <w:b/>
                <w:bCs/>
                <w:color w:val="000000" w:themeColor="text1"/>
                <w:sz w:val="20"/>
                <w:szCs w:val="20"/>
              </w:rPr>
              <w:t>Adjusted profit before tax</w:t>
            </w:r>
          </w:p>
        </w:tc>
        <w:tc>
          <w:tcPr>
            <w:tcW w:w="1503" w:type="dxa"/>
            <w:tcBorders>
              <w:top w:val="nil"/>
              <w:left w:val="nil"/>
              <w:bottom w:val="single" w:sz="8" w:space="0" w:color="auto"/>
              <w:right w:val="nil"/>
            </w:tcBorders>
            <w:shd w:val="clear" w:color="000000" w:fill="FFFFFF"/>
            <w:vAlign w:val="bottom"/>
            <w:hideMark/>
          </w:tcPr>
          <w:p w14:paraId="1AD3F999" w14:textId="40044DDE" w:rsidR="00FF1C37" w:rsidRPr="006D26BB" w:rsidRDefault="00FF1C37" w:rsidP="00FF1C37">
            <w:pPr>
              <w:spacing w:after="0" w:line="240" w:lineRule="auto"/>
              <w:jc w:val="right"/>
              <w:rPr>
                <w:rFonts w:asciiTheme="minorHAnsi" w:hAnsiTheme="minorHAnsi" w:cstheme="minorHAnsi"/>
                <w:b/>
                <w:bCs/>
                <w:color w:val="000000" w:themeColor="text1"/>
                <w:sz w:val="20"/>
                <w:szCs w:val="20"/>
              </w:rPr>
            </w:pPr>
            <w:r w:rsidRPr="006D26BB">
              <w:rPr>
                <w:rFonts w:asciiTheme="minorHAnsi" w:hAnsiTheme="minorHAnsi" w:cstheme="minorHAnsi"/>
                <w:b/>
                <w:bCs/>
                <w:color w:val="000000"/>
                <w:sz w:val="20"/>
                <w:szCs w:val="20"/>
              </w:rPr>
              <w:t xml:space="preserve">      9,38</w:t>
            </w:r>
            <w:r w:rsidR="0049527B">
              <w:rPr>
                <w:rFonts w:asciiTheme="minorHAnsi" w:hAnsiTheme="minorHAnsi" w:cstheme="minorHAnsi"/>
                <w:b/>
                <w:bCs/>
                <w:color w:val="000000"/>
                <w:sz w:val="20"/>
                <w:szCs w:val="20"/>
              </w:rPr>
              <w:t>6</w:t>
            </w:r>
            <w:r w:rsidRPr="006D26BB">
              <w:rPr>
                <w:rFonts w:asciiTheme="minorHAnsi" w:hAnsiTheme="minorHAnsi" w:cstheme="minorHAnsi"/>
                <w:b/>
                <w:bCs/>
                <w:color w:val="000000"/>
                <w:sz w:val="20"/>
                <w:szCs w:val="20"/>
              </w:rPr>
              <w:t xml:space="preserve"> </w:t>
            </w:r>
          </w:p>
        </w:tc>
        <w:tc>
          <w:tcPr>
            <w:tcW w:w="1504" w:type="dxa"/>
            <w:tcBorders>
              <w:top w:val="nil"/>
              <w:left w:val="nil"/>
              <w:bottom w:val="single" w:sz="8" w:space="0" w:color="auto"/>
              <w:right w:val="nil"/>
            </w:tcBorders>
            <w:shd w:val="clear" w:color="000000" w:fill="FFFFFF"/>
            <w:vAlign w:val="bottom"/>
            <w:hideMark/>
          </w:tcPr>
          <w:p w14:paraId="511B2CAF" w14:textId="4208CBD9" w:rsidR="00FF1C37" w:rsidRPr="006D26BB" w:rsidRDefault="00FF1C37" w:rsidP="00FF1C37">
            <w:pPr>
              <w:spacing w:after="0" w:line="240" w:lineRule="auto"/>
              <w:jc w:val="right"/>
              <w:rPr>
                <w:rFonts w:asciiTheme="minorHAnsi" w:hAnsiTheme="minorHAnsi" w:cstheme="minorHAnsi"/>
                <w:b/>
                <w:bCs/>
                <w:color w:val="000000" w:themeColor="text1"/>
                <w:sz w:val="20"/>
                <w:szCs w:val="20"/>
              </w:rPr>
            </w:pPr>
            <w:r w:rsidRPr="006D26BB">
              <w:rPr>
                <w:rFonts w:asciiTheme="minorHAnsi" w:hAnsiTheme="minorHAnsi" w:cstheme="minorHAnsi"/>
                <w:b/>
                <w:bCs/>
                <w:color w:val="000000"/>
                <w:sz w:val="20"/>
                <w:szCs w:val="20"/>
              </w:rPr>
              <w:t xml:space="preserve">      9,914 </w:t>
            </w:r>
          </w:p>
        </w:tc>
        <w:tc>
          <w:tcPr>
            <w:tcW w:w="1504" w:type="dxa"/>
            <w:tcBorders>
              <w:top w:val="nil"/>
              <w:left w:val="nil"/>
              <w:bottom w:val="single" w:sz="8" w:space="0" w:color="auto"/>
              <w:right w:val="nil"/>
            </w:tcBorders>
            <w:shd w:val="clear" w:color="000000" w:fill="FFFFFF"/>
            <w:vAlign w:val="bottom"/>
            <w:hideMark/>
          </w:tcPr>
          <w:p w14:paraId="1A8E2811" w14:textId="002C23DB" w:rsidR="00FF1C37" w:rsidRPr="006D26BB" w:rsidRDefault="00FF1C37" w:rsidP="00FF1C37">
            <w:pPr>
              <w:spacing w:after="0" w:line="240" w:lineRule="auto"/>
              <w:jc w:val="right"/>
              <w:rPr>
                <w:rFonts w:asciiTheme="minorHAnsi" w:hAnsiTheme="minorHAnsi" w:cstheme="minorHAnsi"/>
                <w:b/>
                <w:bCs/>
                <w:color w:val="000000" w:themeColor="text1"/>
                <w:sz w:val="20"/>
                <w:szCs w:val="20"/>
              </w:rPr>
            </w:pPr>
            <w:r w:rsidRPr="006D26BB">
              <w:rPr>
                <w:rFonts w:asciiTheme="minorHAnsi" w:hAnsiTheme="minorHAnsi" w:cstheme="minorHAnsi"/>
                <w:b/>
                <w:bCs/>
                <w:color w:val="000000"/>
                <w:sz w:val="20"/>
                <w:szCs w:val="20"/>
              </w:rPr>
              <w:t xml:space="preserve">     (52</w:t>
            </w:r>
            <w:r w:rsidR="0049527B">
              <w:rPr>
                <w:rFonts w:asciiTheme="minorHAnsi" w:hAnsiTheme="minorHAnsi" w:cstheme="minorHAnsi"/>
                <w:b/>
                <w:bCs/>
                <w:color w:val="000000"/>
                <w:sz w:val="20"/>
                <w:szCs w:val="20"/>
              </w:rPr>
              <w:t>8</w:t>
            </w:r>
            <w:r w:rsidRPr="006D26BB">
              <w:rPr>
                <w:rFonts w:asciiTheme="minorHAnsi" w:hAnsiTheme="minorHAnsi" w:cstheme="minorHAnsi"/>
                <w:b/>
                <w:bCs/>
                <w:color w:val="000000"/>
                <w:sz w:val="20"/>
                <w:szCs w:val="20"/>
              </w:rPr>
              <w:t>)</w:t>
            </w:r>
          </w:p>
        </w:tc>
        <w:tc>
          <w:tcPr>
            <w:tcW w:w="831" w:type="dxa"/>
            <w:tcBorders>
              <w:top w:val="single" w:sz="8" w:space="0" w:color="auto"/>
              <w:left w:val="nil"/>
              <w:bottom w:val="single" w:sz="8" w:space="0" w:color="auto"/>
              <w:right w:val="nil"/>
            </w:tcBorders>
            <w:shd w:val="clear" w:color="000000" w:fill="FFFFFF"/>
            <w:noWrap/>
            <w:vAlign w:val="bottom"/>
            <w:hideMark/>
          </w:tcPr>
          <w:p w14:paraId="5AA3DCA1" w14:textId="03649543" w:rsidR="00FF1C37" w:rsidRPr="006D26BB" w:rsidRDefault="00FF1C37" w:rsidP="00FF1C37">
            <w:pPr>
              <w:spacing w:after="0" w:line="240" w:lineRule="auto"/>
              <w:jc w:val="right"/>
              <w:rPr>
                <w:rFonts w:asciiTheme="minorHAnsi" w:hAnsiTheme="minorHAnsi" w:cstheme="minorHAnsi"/>
                <w:b/>
                <w:bCs/>
                <w:color w:val="000000" w:themeColor="text1"/>
                <w:sz w:val="20"/>
                <w:szCs w:val="20"/>
              </w:rPr>
            </w:pPr>
            <w:r w:rsidRPr="006D26BB">
              <w:rPr>
                <w:rFonts w:asciiTheme="minorHAnsi" w:hAnsiTheme="minorHAnsi" w:cstheme="minorHAnsi"/>
                <w:b/>
                <w:bCs/>
                <w:color w:val="000000"/>
                <w:sz w:val="20"/>
                <w:szCs w:val="20"/>
              </w:rPr>
              <w:t>-5%</w:t>
            </w:r>
          </w:p>
        </w:tc>
      </w:tr>
      <w:tr w:rsidR="00FF1C37" w:rsidRPr="006D26BB" w14:paraId="7FA13992" w14:textId="77777777" w:rsidTr="00997EF7">
        <w:trPr>
          <w:trHeight w:val="131"/>
        </w:trPr>
        <w:tc>
          <w:tcPr>
            <w:tcW w:w="3730" w:type="dxa"/>
            <w:tcBorders>
              <w:top w:val="nil"/>
              <w:left w:val="nil"/>
              <w:bottom w:val="nil"/>
              <w:right w:val="nil"/>
            </w:tcBorders>
            <w:shd w:val="clear" w:color="000000" w:fill="FFFFFF"/>
            <w:noWrap/>
            <w:vAlign w:val="bottom"/>
            <w:hideMark/>
          </w:tcPr>
          <w:p w14:paraId="406F6B62" w14:textId="77777777" w:rsidR="00FF1C37" w:rsidRPr="006D26BB" w:rsidRDefault="00FF1C37" w:rsidP="00FF1C37">
            <w:pPr>
              <w:spacing w:after="0" w:line="240" w:lineRule="auto"/>
              <w:rPr>
                <w:rFonts w:asciiTheme="minorHAnsi" w:hAnsiTheme="minorHAnsi" w:cstheme="minorHAnsi"/>
                <w:bCs/>
                <w:color w:val="000000" w:themeColor="text1"/>
                <w:sz w:val="20"/>
                <w:szCs w:val="20"/>
              </w:rPr>
            </w:pPr>
            <w:r w:rsidRPr="006D26BB">
              <w:rPr>
                <w:rFonts w:asciiTheme="minorHAnsi" w:hAnsiTheme="minorHAnsi" w:cstheme="minorHAnsi"/>
                <w:bCs/>
                <w:color w:val="000000" w:themeColor="text1"/>
                <w:sz w:val="20"/>
                <w:szCs w:val="20"/>
              </w:rPr>
              <w:t>Tax expense</w:t>
            </w:r>
          </w:p>
        </w:tc>
        <w:tc>
          <w:tcPr>
            <w:tcW w:w="1503" w:type="dxa"/>
            <w:tcBorders>
              <w:top w:val="nil"/>
              <w:left w:val="nil"/>
              <w:bottom w:val="single" w:sz="8" w:space="0" w:color="auto"/>
              <w:right w:val="nil"/>
            </w:tcBorders>
            <w:shd w:val="clear" w:color="000000" w:fill="FFFFFF"/>
            <w:vAlign w:val="bottom"/>
            <w:hideMark/>
          </w:tcPr>
          <w:p w14:paraId="0D7752A4" w14:textId="44BEE2DD" w:rsidR="00FF1C37" w:rsidRPr="006D26BB" w:rsidRDefault="00FF1C37" w:rsidP="00FF1C37">
            <w:pPr>
              <w:spacing w:after="0" w:line="240" w:lineRule="auto"/>
              <w:jc w:val="right"/>
              <w:rPr>
                <w:rFonts w:asciiTheme="minorHAnsi" w:hAnsiTheme="minorHAnsi" w:cstheme="minorHAnsi"/>
                <w:bCs/>
                <w:color w:val="000000" w:themeColor="text1"/>
                <w:sz w:val="20"/>
                <w:szCs w:val="20"/>
              </w:rPr>
            </w:pPr>
            <w:r w:rsidRPr="006D26BB">
              <w:rPr>
                <w:rFonts w:asciiTheme="minorHAnsi" w:hAnsiTheme="minorHAnsi" w:cstheme="minorHAnsi"/>
                <w:color w:val="000000"/>
                <w:sz w:val="20"/>
                <w:szCs w:val="20"/>
              </w:rPr>
              <w:t xml:space="preserve">    (2,007)</w:t>
            </w:r>
          </w:p>
        </w:tc>
        <w:tc>
          <w:tcPr>
            <w:tcW w:w="1504" w:type="dxa"/>
            <w:tcBorders>
              <w:top w:val="nil"/>
              <w:left w:val="nil"/>
              <w:bottom w:val="single" w:sz="8" w:space="0" w:color="auto"/>
              <w:right w:val="nil"/>
            </w:tcBorders>
            <w:shd w:val="clear" w:color="000000" w:fill="FFFFFF"/>
            <w:vAlign w:val="bottom"/>
            <w:hideMark/>
          </w:tcPr>
          <w:p w14:paraId="35AA0E5B" w14:textId="6A12029D" w:rsidR="00FF1C37" w:rsidRPr="006D26BB" w:rsidRDefault="00FF1C37" w:rsidP="00FF1C37">
            <w:pPr>
              <w:spacing w:after="0" w:line="240" w:lineRule="auto"/>
              <w:jc w:val="right"/>
              <w:rPr>
                <w:rFonts w:asciiTheme="minorHAnsi" w:hAnsiTheme="minorHAnsi" w:cstheme="minorHAnsi"/>
                <w:bCs/>
                <w:color w:val="000000" w:themeColor="text1"/>
                <w:sz w:val="20"/>
                <w:szCs w:val="20"/>
              </w:rPr>
            </w:pPr>
            <w:r w:rsidRPr="006D26BB">
              <w:rPr>
                <w:rFonts w:asciiTheme="minorHAnsi" w:hAnsiTheme="minorHAnsi" w:cstheme="minorHAnsi"/>
                <w:color w:val="000000"/>
                <w:sz w:val="20"/>
                <w:szCs w:val="20"/>
              </w:rPr>
              <w:t xml:space="preserve">    (2,177)</w:t>
            </w:r>
          </w:p>
        </w:tc>
        <w:tc>
          <w:tcPr>
            <w:tcW w:w="1504" w:type="dxa"/>
            <w:tcBorders>
              <w:top w:val="nil"/>
              <w:left w:val="nil"/>
              <w:bottom w:val="single" w:sz="8" w:space="0" w:color="auto"/>
              <w:right w:val="nil"/>
            </w:tcBorders>
            <w:shd w:val="clear" w:color="000000" w:fill="FFFFFF"/>
            <w:vAlign w:val="bottom"/>
            <w:hideMark/>
          </w:tcPr>
          <w:p w14:paraId="57F59C6A" w14:textId="4FFB2211" w:rsidR="00FF1C37" w:rsidRPr="006D26BB" w:rsidRDefault="00FF1C37" w:rsidP="00FF1C37">
            <w:pPr>
              <w:spacing w:after="0" w:line="240" w:lineRule="auto"/>
              <w:jc w:val="right"/>
              <w:rPr>
                <w:rFonts w:asciiTheme="minorHAnsi" w:hAnsiTheme="minorHAnsi" w:cstheme="minorHAnsi"/>
                <w:bCs/>
                <w:color w:val="000000" w:themeColor="text1"/>
                <w:sz w:val="20"/>
                <w:szCs w:val="20"/>
              </w:rPr>
            </w:pPr>
            <w:r w:rsidRPr="006D26BB">
              <w:rPr>
                <w:rFonts w:asciiTheme="minorHAnsi" w:hAnsiTheme="minorHAnsi" w:cstheme="minorHAnsi"/>
                <w:color w:val="000000"/>
                <w:sz w:val="20"/>
                <w:szCs w:val="20"/>
              </w:rPr>
              <w:t xml:space="preserve">       170 </w:t>
            </w:r>
          </w:p>
        </w:tc>
        <w:tc>
          <w:tcPr>
            <w:tcW w:w="831" w:type="dxa"/>
            <w:tcBorders>
              <w:top w:val="nil"/>
              <w:left w:val="nil"/>
              <w:bottom w:val="nil"/>
              <w:right w:val="nil"/>
            </w:tcBorders>
            <w:shd w:val="clear" w:color="000000" w:fill="FFFFFF"/>
            <w:noWrap/>
            <w:vAlign w:val="bottom"/>
            <w:hideMark/>
          </w:tcPr>
          <w:p w14:paraId="047E62CE" w14:textId="7056C8A1" w:rsidR="00FF1C37" w:rsidRPr="006D26BB" w:rsidRDefault="00FF1C37" w:rsidP="00FF1C37">
            <w:pPr>
              <w:spacing w:after="0" w:line="240" w:lineRule="auto"/>
              <w:jc w:val="right"/>
              <w:rPr>
                <w:rFonts w:asciiTheme="minorHAnsi" w:hAnsiTheme="minorHAnsi" w:cstheme="minorHAnsi"/>
                <w:bCs/>
                <w:color w:val="000000" w:themeColor="text1"/>
                <w:sz w:val="20"/>
                <w:szCs w:val="20"/>
              </w:rPr>
            </w:pPr>
            <w:r w:rsidRPr="006D26BB">
              <w:rPr>
                <w:rFonts w:asciiTheme="minorHAnsi" w:hAnsiTheme="minorHAnsi" w:cstheme="minorHAnsi"/>
                <w:color w:val="000000"/>
                <w:sz w:val="20"/>
                <w:szCs w:val="20"/>
              </w:rPr>
              <w:t>-8%</w:t>
            </w:r>
          </w:p>
        </w:tc>
      </w:tr>
      <w:tr w:rsidR="00FF1C37" w:rsidRPr="006D26BB" w14:paraId="7C1B0EC3" w14:textId="77777777" w:rsidTr="00997EF7">
        <w:trPr>
          <w:trHeight w:val="131"/>
        </w:trPr>
        <w:tc>
          <w:tcPr>
            <w:tcW w:w="3730" w:type="dxa"/>
            <w:tcBorders>
              <w:top w:val="single" w:sz="8" w:space="0" w:color="auto"/>
              <w:left w:val="nil"/>
              <w:bottom w:val="single" w:sz="8" w:space="0" w:color="auto"/>
              <w:right w:val="nil"/>
            </w:tcBorders>
            <w:shd w:val="clear" w:color="000000" w:fill="FFFFFF"/>
            <w:noWrap/>
            <w:vAlign w:val="center"/>
            <w:hideMark/>
          </w:tcPr>
          <w:p w14:paraId="672A93D7" w14:textId="77777777" w:rsidR="00FF1C37" w:rsidRPr="006D26BB" w:rsidRDefault="00FF1C37" w:rsidP="00FF1C37">
            <w:pPr>
              <w:spacing w:after="0" w:line="240" w:lineRule="auto"/>
              <w:rPr>
                <w:rFonts w:asciiTheme="minorHAnsi" w:hAnsiTheme="minorHAnsi" w:cstheme="minorHAnsi"/>
                <w:b/>
                <w:bCs/>
                <w:color w:val="000000" w:themeColor="text1"/>
                <w:sz w:val="20"/>
                <w:szCs w:val="20"/>
              </w:rPr>
            </w:pPr>
            <w:r w:rsidRPr="006D26BB">
              <w:rPr>
                <w:rFonts w:asciiTheme="minorHAnsi" w:hAnsiTheme="minorHAnsi" w:cstheme="minorHAnsi"/>
                <w:b/>
                <w:bCs/>
                <w:color w:val="000000" w:themeColor="text1"/>
                <w:sz w:val="20"/>
                <w:szCs w:val="20"/>
              </w:rPr>
              <w:t>Adjusted profit after tax</w:t>
            </w:r>
          </w:p>
        </w:tc>
        <w:tc>
          <w:tcPr>
            <w:tcW w:w="1503" w:type="dxa"/>
            <w:tcBorders>
              <w:top w:val="nil"/>
              <w:left w:val="nil"/>
              <w:bottom w:val="single" w:sz="8" w:space="0" w:color="auto"/>
              <w:right w:val="nil"/>
            </w:tcBorders>
            <w:shd w:val="clear" w:color="000000" w:fill="FFFFFF"/>
            <w:vAlign w:val="bottom"/>
            <w:hideMark/>
          </w:tcPr>
          <w:p w14:paraId="67769E68" w14:textId="386832BE" w:rsidR="00FF1C37" w:rsidRPr="006D26BB" w:rsidRDefault="00FF1C37" w:rsidP="00FF1C37">
            <w:pPr>
              <w:spacing w:after="0" w:line="240" w:lineRule="auto"/>
              <w:jc w:val="right"/>
              <w:rPr>
                <w:rFonts w:asciiTheme="minorHAnsi" w:hAnsiTheme="minorHAnsi" w:cstheme="minorHAnsi"/>
                <w:b/>
                <w:color w:val="000000" w:themeColor="text1"/>
                <w:sz w:val="20"/>
                <w:szCs w:val="20"/>
              </w:rPr>
            </w:pPr>
            <w:r w:rsidRPr="006D26BB">
              <w:rPr>
                <w:rFonts w:asciiTheme="minorHAnsi" w:hAnsiTheme="minorHAnsi" w:cstheme="minorHAnsi"/>
                <w:b/>
                <w:bCs/>
                <w:color w:val="000000"/>
                <w:sz w:val="20"/>
                <w:szCs w:val="20"/>
              </w:rPr>
              <w:t xml:space="preserve">      7,3</w:t>
            </w:r>
            <w:r w:rsidR="0049527B">
              <w:rPr>
                <w:rFonts w:asciiTheme="minorHAnsi" w:hAnsiTheme="minorHAnsi" w:cstheme="minorHAnsi"/>
                <w:b/>
                <w:bCs/>
                <w:color w:val="000000"/>
                <w:sz w:val="20"/>
                <w:szCs w:val="20"/>
              </w:rPr>
              <w:t>79</w:t>
            </w:r>
            <w:r w:rsidRPr="006D26BB">
              <w:rPr>
                <w:rFonts w:asciiTheme="minorHAnsi" w:hAnsiTheme="minorHAnsi" w:cstheme="minorHAnsi"/>
                <w:b/>
                <w:bCs/>
                <w:color w:val="000000"/>
                <w:sz w:val="20"/>
                <w:szCs w:val="20"/>
              </w:rPr>
              <w:t xml:space="preserve"> </w:t>
            </w:r>
          </w:p>
        </w:tc>
        <w:tc>
          <w:tcPr>
            <w:tcW w:w="1504" w:type="dxa"/>
            <w:tcBorders>
              <w:top w:val="nil"/>
              <w:left w:val="nil"/>
              <w:bottom w:val="single" w:sz="8" w:space="0" w:color="auto"/>
              <w:right w:val="nil"/>
            </w:tcBorders>
            <w:shd w:val="clear" w:color="000000" w:fill="FFFFFF"/>
            <w:vAlign w:val="bottom"/>
            <w:hideMark/>
          </w:tcPr>
          <w:p w14:paraId="4CA7ECEC" w14:textId="7651D583" w:rsidR="00FF1C37" w:rsidRPr="006D26BB" w:rsidRDefault="00FF1C37" w:rsidP="00FF1C37">
            <w:pPr>
              <w:spacing w:after="0" w:line="240" w:lineRule="auto"/>
              <w:jc w:val="right"/>
              <w:rPr>
                <w:rFonts w:asciiTheme="minorHAnsi" w:hAnsiTheme="minorHAnsi" w:cstheme="minorHAnsi"/>
                <w:b/>
                <w:color w:val="000000" w:themeColor="text1"/>
                <w:sz w:val="20"/>
                <w:szCs w:val="20"/>
              </w:rPr>
            </w:pPr>
            <w:r w:rsidRPr="006D26BB">
              <w:rPr>
                <w:rFonts w:asciiTheme="minorHAnsi" w:hAnsiTheme="minorHAnsi" w:cstheme="minorHAnsi"/>
                <w:b/>
                <w:bCs/>
                <w:color w:val="000000"/>
                <w:sz w:val="20"/>
                <w:szCs w:val="20"/>
              </w:rPr>
              <w:t xml:space="preserve">      7,737 </w:t>
            </w:r>
          </w:p>
        </w:tc>
        <w:tc>
          <w:tcPr>
            <w:tcW w:w="1504" w:type="dxa"/>
            <w:tcBorders>
              <w:top w:val="nil"/>
              <w:left w:val="nil"/>
              <w:bottom w:val="single" w:sz="8" w:space="0" w:color="auto"/>
              <w:right w:val="nil"/>
            </w:tcBorders>
            <w:shd w:val="clear" w:color="000000" w:fill="FFFFFF"/>
            <w:vAlign w:val="bottom"/>
            <w:hideMark/>
          </w:tcPr>
          <w:p w14:paraId="6138FE36" w14:textId="106F86FC" w:rsidR="00FF1C37" w:rsidRPr="006D26BB" w:rsidRDefault="00FF1C37" w:rsidP="00FF1C37">
            <w:pPr>
              <w:spacing w:after="0" w:line="240" w:lineRule="auto"/>
              <w:jc w:val="right"/>
              <w:rPr>
                <w:rFonts w:asciiTheme="minorHAnsi" w:hAnsiTheme="minorHAnsi" w:cstheme="minorHAnsi"/>
                <w:b/>
                <w:color w:val="000000" w:themeColor="text1"/>
                <w:sz w:val="20"/>
                <w:szCs w:val="20"/>
              </w:rPr>
            </w:pPr>
            <w:r w:rsidRPr="006D26BB">
              <w:rPr>
                <w:rFonts w:asciiTheme="minorHAnsi" w:hAnsiTheme="minorHAnsi" w:cstheme="minorHAnsi"/>
                <w:b/>
                <w:bCs/>
                <w:color w:val="000000"/>
                <w:sz w:val="20"/>
                <w:szCs w:val="20"/>
              </w:rPr>
              <w:t xml:space="preserve">     (35</w:t>
            </w:r>
            <w:r w:rsidR="0049527B">
              <w:rPr>
                <w:rFonts w:asciiTheme="minorHAnsi" w:hAnsiTheme="minorHAnsi" w:cstheme="minorHAnsi"/>
                <w:b/>
                <w:bCs/>
                <w:color w:val="000000"/>
                <w:sz w:val="20"/>
                <w:szCs w:val="20"/>
              </w:rPr>
              <w:t>8</w:t>
            </w:r>
            <w:r w:rsidRPr="006D26BB">
              <w:rPr>
                <w:rFonts w:asciiTheme="minorHAnsi" w:hAnsiTheme="minorHAnsi" w:cstheme="minorHAnsi"/>
                <w:b/>
                <w:bCs/>
                <w:color w:val="000000"/>
                <w:sz w:val="20"/>
                <w:szCs w:val="20"/>
              </w:rPr>
              <w:t>)</w:t>
            </w:r>
          </w:p>
        </w:tc>
        <w:tc>
          <w:tcPr>
            <w:tcW w:w="831" w:type="dxa"/>
            <w:tcBorders>
              <w:top w:val="single" w:sz="8" w:space="0" w:color="auto"/>
              <w:left w:val="nil"/>
              <w:bottom w:val="single" w:sz="8" w:space="0" w:color="auto"/>
              <w:right w:val="nil"/>
            </w:tcBorders>
            <w:shd w:val="clear" w:color="000000" w:fill="FFFFFF"/>
            <w:noWrap/>
            <w:vAlign w:val="bottom"/>
            <w:hideMark/>
          </w:tcPr>
          <w:p w14:paraId="627D4DB5" w14:textId="096FD74B" w:rsidR="00FF1C37" w:rsidRPr="006D26BB" w:rsidRDefault="00FF1C37" w:rsidP="00FF1C37">
            <w:pPr>
              <w:spacing w:after="0" w:line="240" w:lineRule="auto"/>
              <w:jc w:val="right"/>
              <w:rPr>
                <w:rFonts w:asciiTheme="minorHAnsi" w:hAnsiTheme="minorHAnsi" w:cstheme="minorHAnsi"/>
                <w:b/>
                <w:color w:val="000000" w:themeColor="text1"/>
                <w:sz w:val="20"/>
                <w:szCs w:val="20"/>
              </w:rPr>
            </w:pPr>
            <w:r w:rsidRPr="006D26BB">
              <w:rPr>
                <w:rFonts w:asciiTheme="minorHAnsi" w:hAnsiTheme="minorHAnsi" w:cstheme="minorHAnsi"/>
                <w:b/>
                <w:bCs/>
                <w:color w:val="000000"/>
                <w:sz w:val="20"/>
                <w:szCs w:val="20"/>
              </w:rPr>
              <w:t>-5%</w:t>
            </w:r>
          </w:p>
        </w:tc>
      </w:tr>
      <w:tr w:rsidR="00FF1C37" w:rsidRPr="006D26BB" w14:paraId="2C4421E8" w14:textId="77777777" w:rsidTr="00997EF7">
        <w:trPr>
          <w:trHeight w:val="124"/>
        </w:trPr>
        <w:tc>
          <w:tcPr>
            <w:tcW w:w="3730" w:type="dxa"/>
            <w:tcBorders>
              <w:top w:val="nil"/>
              <w:left w:val="nil"/>
              <w:bottom w:val="nil"/>
              <w:right w:val="nil"/>
            </w:tcBorders>
            <w:shd w:val="clear" w:color="000000" w:fill="FFFFFF"/>
            <w:noWrap/>
            <w:vAlign w:val="center"/>
            <w:hideMark/>
          </w:tcPr>
          <w:p w14:paraId="35125244" w14:textId="77777777" w:rsidR="00FF1C37" w:rsidRPr="006D26BB" w:rsidRDefault="00FF1C37" w:rsidP="00FF1C37">
            <w:pPr>
              <w:spacing w:after="0" w:line="240" w:lineRule="auto"/>
              <w:rPr>
                <w:rFonts w:asciiTheme="minorHAnsi" w:hAnsiTheme="minorHAnsi" w:cstheme="minorHAnsi"/>
                <w:bCs/>
                <w:color w:val="000000" w:themeColor="text1"/>
                <w:sz w:val="20"/>
                <w:szCs w:val="20"/>
              </w:rPr>
            </w:pPr>
            <w:r w:rsidRPr="006D26BB">
              <w:rPr>
                <w:rFonts w:asciiTheme="minorHAnsi" w:hAnsiTheme="minorHAnsi" w:cstheme="minorHAnsi"/>
                <w:bCs/>
                <w:color w:val="000000" w:themeColor="text1"/>
                <w:sz w:val="20"/>
                <w:szCs w:val="20"/>
              </w:rPr>
              <w:t>Share-based payment expense</w:t>
            </w:r>
          </w:p>
        </w:tc>
        <w:tc>
          <w:tcPr>
            <w:tcW w:w="1503" w:type="dxa"/>
            <w:tcBorders>
              <w:top w:val="nil"/>
              <w:left w:val="nil"/>
              <w:bottom w:val="nil"/>
              <w:right w:val="nil"/>
            </w:tcBorders>
            <w:shd w:val="clear" w:color="000000" w:fill="FFFFFF"/>
            <w:vAlign w:val="bottom"/>
            <w:hideMark/>
          </w:tcPr>
          <w:p w14:paraId="1AEAC542" w14:textId="22A30727" w:rsidR="00FF1C37" w:rsidRPr="006D26BB" w:rsidRDefault="00FF1C37" w:rsidP="00FF1C37">
            <w:pPr>
              <w:spacing w:after="0" w:line="240" w:lineRule="auto"/>
              <w:jc w:val="right"/>
              <w:rPr>
                <w:rFonts w:asciiTheme="minorHAnsi" w:hAnsiTheme="minorHAnsi" w:cstheme="minorHAnsi"/>
                <w:color w:val="000000" w:themeColor="text1"/>
                <w:sz w:val="20"/>
                <w:szCs w:val="20"/>
              </w:rPr>
            </w:pPr>
            <w:r w:rsidRPr="006D26BB">
              <w:rPr>
                <w:rFonts w:asciiTheme="minorHAnsi" w:hAnsiTheme="minorHAnsi" w:cstheme="minorHAnsi"/>
                <w:color w:val="000000"/>
                <w:sz w:val="20"/>
                <w:szCs w:val="20"/>
              </w:rPr>
              <w:t xml:space="preserve">       (128)</w:t>
            </w:r>
          </w:p>
        </w:tc>
        <w:tc>
          <w:tcPr>
            <w:tcW w:w="1504" w:type="dxa"/>
            <w:tcBorders>
              <w:top w:val="nil"/>
              <w:left w:val="nil"/>
              <w:bottom w:val="nil"/>
              <w:right w:val="nil"/>
            </w:tcBorders>
            <w:shd w:val="clear" w:color="000000" w:fill="FFFFFF"/>
            <w:vAlign w:val="bottom"/>
            <w:hideMark/>
          </w:tcPr>
          <w:p w14:paraId="3B9E448D" w14:textId="635631C4" w:rsidR="00FF1C37" w:rsidRPr="006D26BB" w:rsidRDefault="00FF1C37" w:rsidP="00FF1C37">
            <w:pPr>
              <w:spacing w:after="0" w:line="240" w:lineRule="auto"/>
              <w:jc w:val="right"/>
              <w:rPr>
                <w:rFonts w:asciiTheme="minorHAnsi" w:hAnsiTheme="minorHAnsi" w:cstheme="minorHAnsi"/>
                <w:color w:val="000000" w:themeColor="text1"/>
                <w:sz w:val="20"/>
                <w:szCs w:val="20"/>
              </w:rPr>
            </w:pPr>
            <w:r w:rsidRPr="006D26BB">
              <w:rPr>
                <w:rFonts w:asciiTheme="minorHAnsi" w:hAnsiTheme="minorHAnsi" w:cstheme="minorHAnsi"/>
                <w:color w:val="000000"/>
                <w:sz w:val="20"/>
                <w:szCs w:val="20"/>
              </w:rPr>
              <w:t xml:space="preserve">       (144)</w:t>
            </w:r>
          </w:p>
        </w:tc>
        <w:tc>
          <w:tcPr>
            <w:tcW w:w="1504" w:type="dxa"/>
            <w:tcBorders>
              <w:top w:val="nil"/>
              <w:left w:val="nil"/>
              <w:bottom w:val="nil"/>
              <w:right w:val="nil"/>
            </w:tcBorders>
            <w:shd w:val="clear" w:color="000000" w:fill="FFFFFF"/>
            <w:vAlign w:val="bottom"/>
            <w:hideMark/>
          </w:tcPr>
          <w:p w14:paraId="41B8AB51" w14:textId="7CC01ACB" w:rsidR="00FF1C37" w:rsidRPr="006D26BB" w:rsidRDefault="00FF1C37" w:rsidP="00FF1C37">
            <w:pPr>
              <w:spacing w:after="0" w:line="240" w:lineRule="auto"/>
              <w:jc w:val="right"/>
              <w:rPr>
                <w:rFonts w:asciiTheme="minorHAnsi" w:hAnsiTheme="minorHAnsi" w:cstheme="minorHAnsi"/>
                <w:color w:val="000000" w:themeColor="text1"/>
                <w:sz w:val="20"/>
                <w:szCs w:val="20"/>
              </w:rPr>
            </w:pPr>
            <w:r w:rsidRPr="006D26BB">
              <w:rPr>
                <w:rFonts w:asciiTheme="minorHAnsi" w:hAnsiTheme="minorHAnsi" w:cstheme="minorHAnsi"/>
                <w:color w:val="000000"/>
                <w:sz w:val="20"/>
                <w:szCs w:val="20"/>
              </w:rPr>
              <w:t xml:space="preserve">         16 </w:t>
            </w:r>
          </w:p>
        </w:tc>
        <w:tc>
          <w:tcPr>
            <w:tcW w:w="831" w:type="dxa"/>
            <w:tcBorders>
              <w:top w:val="nil"/>
              <w:left w:val="nil"/>
              <w:bottom w:val="nil"/>
              <w:right w:val="nil"/>
            </w:tcBorders>
            <w:shd w:val="clear" w:color="000000" w:fill="FFFFFF"/>
            <w:noWrap/>
            <w:vAlign w:val="bottom"/>
          </w:tcPr>
          <w:p w14:paraId="649110F3" w14:textId="70D0E1D8" w:rsidR="00FF1C37" w:rsidRPr="006D26BB" w:rsidRDefault="00FF1C37" w:rsidP="00FF1C37">
            <w:pPr>
              <w:spacing w:after="0" w:line="240" w:lineRule="auto"/>
              <w:jc w:val="right"/>
              <w:rPr>
                <w:rFonts w:asciiTheme="minorHAnsi" w:hAnsiTheme="minorHAnsi" w:cstheme="minorHAnsi"/>
                <w:color w:val="000000" w:themeColor="text1"/>
                <w:sz w:val="20"/>
                <w:szCs w:val="20"/>
              </w:rPr>
            </w:pPr>
            <w:r w:rsidRPr="006D26BB">
              <w:rPr>
                <w:rFonts w:asciiTheme="minorHAnsi" w:hAnsiTheme="minorHAnsi" w:cstheme="minorHAnsi"/>
                <w:color w:val="000000"/>
                <w:sz w:val="20"/>
                <w:szCs w:val="20"/>
              </w:rPr>
              <w:t>-11%</w:t>
            </w:r>
          </w:p>
        </w:tc>
      </w:tr>
      <w:tr w:rsidR="00FF1C37" w:rsidRPr="006D26BB" w14:paraId="6632B656" w14:textId="77777777" w:rsidTr="00997EF7">
        <w:trPr>
          <w:trHeight w:val="131"/>
        </w:trPr>
        <w:tc>
          <w:tcPr>
            <w:tcW w:w="3730" w:type="dxa"/>
            <w:tcBorders>
              <w:top w:val="nil"/>
              <w:left w:val="nil"/>
              <w:bottom w:val="nil"/>
              <w:right w:val="nil"/>
            </w:tcBorders>
            <w:shd w:val="clear" w:color="000000" w:fill="FFFFFF"/>
            <w:noWrap/>
            <w:vAlign w:val="bottom"/>
            <w:hideMark/>
          </w:tcPr>
          <w:p w14:paraId="4DFF5FB8" w14:textId="77777777" w:rsidR="00FF1C37" w:rsidRPr="006D26BB" w:rsidRDefault="00FF1C37" w:rsidP="00FF1C37">
            <w:pPr>
              <w:spacing w:after="0" w:line="240" w:lineRule="auto"/>
              <w:rPr>
                <w:rFonts w:asciiTheme="minorHAnsi" w:hAnsiTheme="minorHAnsi" w:cstheme="minorHAnsi"/>
                <w:bCs/>
                <w:color w:val="000000" w:themeColor="text1"/>
                <w:sz w:val="20"/>
                <w:szCs w:val="20"/>
              </w:rPr>
            </w:pPr>
            <w:r w:rsidRPr="006D26BB">
              <w:rPr>
                <w:rFonts w:asciiTheme="minorHAnsi" w:hAnsiTheme="minorHAnsi" w:cstheme="minorHAnsi"/>
                <w:bCs/>
                <w:color w:val="000000" w:themeColor="text1"/>
                <w:sz w:val="20"/>
                <w:szCs w:val="20"/>
              </w:rPr>
              <w:t>Tax on adjusting items</w:t>
            </w:r>
          </w:p>
        </w:tc>
        <w:tc>
          <w:tcPr>
            <w:tcW w:w="1503" w:type="dxa"/>
            <w:tcBorders>
              <w:top w:val="nil"/>
              <w:left w:val="nil"/>
              <w:bottom w:val="single" w:sz="8" w:space="0" w:color="auto"/>
              <w:right w:val="nil"/>
            </w:tcBorders>
            <w:shd w:val="clear" w:color="000000" w:fill="FFFFFF"/>
            <w:vAlign w:val="bottom"/>
            <w:hideMark/>
          </w:tcPr>
          <w:p w14:paraId="5907E617" w14:textId="1874FE4D" w:rsidR="00FF1C37" w:rsidRPr="006D26BB" w:rsidRDefault="00FF1C37" w:rsidP="00FF1C37">
            <w:pPr>
              <w:spacing w:after="0" w:line="240" w:lineRule="auto"/>
              <w:jc w:val="right"/>
              <w:rPr>
                <w:rFonts w:asciiTheme="minorHAnsi" w:hAnsiTheme="minorHAnsi" w:cstheme="minorHAnsi"/>
                <w:color w:val="000000" w:themeColor="text1"/>
                <w:sz w:val="20"/>
                <w:szCs w:val="20"/>
              </w:rPr>
            </w:pPr>
            <w:r w:rsidRPr="006D26BB">
              <w:rPr>
                <w:rFonts w:asciiTheme="minorHAnsi" w:hAnsiTheme="minorHAnsi" w:cstheme="minorHAnsi"/>
                <w:color w:val="000000"/>
                <w:sz w:val="20"/>
                <w:szCs w:val="20"/>
              </w:rPr>
              <w:t xml:space="preserve">           29 </w:t>
            </w:r>
          </w:p>
        </w:tc>
        <w:tc>
          <w:tcPr>
            <w:tcW w:w="1504" w:type="dxa"/>
            <w:tcBorders>
              <w:top w:val="nil"/>
              <w:left w:val="nil"/>
              <w:bottom w:val="single" w:sz="8" w:space="0" w:color="auto"/>
              <w:right w:val="nil"/>
            </w:tcBorders>
            <w:shd w:val="clear" w:color="000000" w:fill="FFFFFF"/>
            <w:vAlign w:val="bottom"/>
            <w:hideMark/>
          </w:tcPr>
          <w:p w14:paraId="1F12EECD" w14:textId="5B4C99ED" w:rsidR="00FF1C37" w:rsidRPr="006D26BB" w:rsidRDefault="00FF1C37" w:rsidP="00FF1C37">
            <w:pPr>
              <w:spacing w:after="0" w:line="240" w:lineRule="auto"/>
              <w:jc w:val="right"/>
              <w:rPr>
                <w:rFonts w:asciiTheme="minorHAnsi" w:hAnsiTheme="minorHAnsi" w:cstheme="minorHAnsi"/>
                <w:color w:val="000000" w:themeColor="text1"/>
                <w:sz w:val="20"/>
                <w:szCs w:val="20"/>
              </w:rPr>
            </w:pPr>
            <w:r w:rsidRPr="006D26BB">
              <w:rPr>
                <w:rFonts w:asciiTheme="minorHAnsi" w:hAnsiTheme="minorHAnsi" w:cstheme="minorHAnsi"/>
                <w:color w:val="000000"/>
                <w:sz w:val="20"/>
                <w:szCs w:val="20"/>
              </w:rPr>
              <w:t xml:space="preserve">           27 </w:t>
            </w:r>
          </w:p>
        </w:tc>
        <w:tc>
          <w:tcPr>
            <w:tcW w:w="1504" w:type="dxa"/>
            <w:tcBorders>
              <w:top w:val="nil"/>
              <w:left w:val="nil"/>
              <w:bottom w:val="nil"/>
              <w:right w:val="nil"/>
            </w:tcBorders>
            <w:shd w:val="clear" w:color="000000" w:fill="FFFFFF"/>
            <w:vAlign w:val="bottom"/>
            <w:hideMark/>
          </w:tcPr>
          <w:p w14:paraId="345FFE46" w14:textId="24B9FDA7" w:rsidR="00FF1C37" w:rsidRPr="006D26BB" w:rsidRDefault="00FF1C37" w:rsidP="00FF1C37">
            <w:pPr>
              <w:spacing w:after="0" w:line="240" w:lineRule="auto"/>
              <w:jc w:val="right"/>
              <w:rPr>
                <w:rFonts w:asciiTheme="minorHAnsi" w:hAnsiTheme="minorHAnsi" w:cstheme="minorHAnsi"/>
                <w:color w:val="000000" w:themeColor="text1"/>
                <w:sz w:val="20"/>
                <w:szCs w:val="20"/>
              </w:rPr>
            </w:pPr>
            <w:r w:rsidRPr="006D26BB">
              <w:rPr>
                <w:rFonts w:asciiTheme="minorHAnsi" w:hAnsiTheme="minorHAnsi" w:cstheme="minorHAnsi"/>
                <w:color w:val="000000"/>
                <w:sz w:val="20"/>
                <w:szCs w:val="20"/>
              </w:rPr>
              <w:t xml:space="preserve">           2 </w:t>
            </w:r>
          </w:p>
        </w:tc>
        <w:tc>
          <w:tcPr>
            <w:tcW w:w="831" w:type="dxa"/>
            <w:tcBorders>
              <w:top w:val="nil"/>
              <w:left w:val="nil"/>
              <w:bottom w:val="nil"/>
              <w:right w:val="nil"/>
            </w:tcBorders>
            <w:shd w:val="clear" w:color="000000" w:fill="FFFFFF"/>
            <w:noWrap/>
            <w:vAlign w:val="bottom"/>
          </w:tcPr>
          <w:p w14:paraId="61AA8810" w14:textId="0E44C05E" w:rsidR="00FF1C37" w:rsidRPr="006D26BB" w:rsidRDefault="00FF1C37" w:rsidP="00FF1C37">
            <w:pPr>
              <w:spacing w:after="0" w:line="240" w:lineRule="auto"/>
              <w:jc w:val="right"/>
              <w:rPr>
                <w:rFonts w:asciiTheme="minorHAnsi" w:hAnsiTheme="minorHAnsi" w:cstheme="minorHAnsi"/>
                <w:color w:val="000000" w:themeColor="text1"/>
                <w:sz w:val="20"/>
                <w:szCs w:val="20"/>
              </w:rPr>
            </w:pPr>
            <w:r w:rsidRPr="006D26BB">
              <w:rPr>
                <w:rFonts w:asciiTheme="minorHAnsi" w:hAnsiTheme="minorHAnsi" w:cstheme="minorHAnsi"/>
                <w:color w:val="000000"/>
                <w:sz w:val="20"/>
                <w:szCs w:val="20"/>
              </w:rPr>
              <w:t>7%</w:t>
            </w:r>
          </w:p>
        </w:tc>
      </w:tr>
      <w:tr w:rsidR="00FF1C37" w:rsidRPr="006D26BB" w14:paraId="38A615C6" w14:textId="77777777" w:rsidTr="00997EF7">
        <w:trPr>
          <w:trHeight w:val="131"/>
        </w:trPr>
        <w:tc>
          <w:tcPr>
            <w:tcW w:w="3730" w:type="dxa"/>
            <w:tcBorders>
              <w:top w:val="single" w:sz="8" w:space="0" w:color="auto"/>
              <w:left w:val="nil"/>
              <w:bottom w:val="single" w:sz="8" w:space="0" w:color="auto"/>
              <w:right w:val="nil"/>
            </w:tcBorders>
            <w:shd w:val="clear" w:color="000000" w:fill="FFFFFF"/>
            <w:noWrap/>
            <w:vAlign w:val="center"/>
            <w:hideMark/>
          </w:tcPr>
          <w:p w14:paraId="4289E9FE" w14:textId="77777777" w:rsidR="00FF1C37" w:rsidRPr="006D26BB" w:rsidRDefault="00FF1C37" w:rsidP="00FF1C37">
            <w:pPr>
              <w:spacing w:after="0" w:line="240" w:lineRule="auto"/>
              <w:rPr>
                <w:rFonts w:asciiTheme="minorHAnsi" w:hAnsiTheme="minorHAnsi" w:cstheme="minorHAnsi"/>
                <w:b/>
                <w:bCs/>
                <w:color w:val="000000" w:themeColor="text1"/>
                <w:sz w:val="20"/>
                <w:szCs w:val="20"/>
              </w:rPr>
            </w:pPr>
            <w:r w:rsidRPr="006D26BB">
              <w:rPr>
                <w:rFonts w:asciiTheme="minorHAnsi" w:hAnsiTheme="minorHAnsi" w:cstheme="minorHAnsi"/>
                <w:b/>
                <w:bCs/>
                <w:color w:val="000000" w:themeColor="text1"/>
                <w:sz w:val="20"/>
                <w:szCs w:val="20"/>
              </w:rPr>
              <w:t>Statutory profit after tax</w:t>
            </w:r>
          </w:p>
        </w:tc>
        <w:tc>
          <w:tcPr>
            <w:tcW w:w="1503" w:type="dxa"/>
            <w:tcBorders>
              <w:top w:val="nil"/>
              <w:left w:val="nil"/>
              <w:bottom w:val="single" w:sz="8" w:space="0" w:color="auto"/>
              <w:right w:val="nil"/>
            </w:tcBorders>
            <w:shd w:val="clear" w:color="000000" w:fill="FFFFFF"/>
            <w:vAlign w:val="bottom"/>
            <w:hideMark/>
          </w:tcPr>
          <w:p w14:paraId="3FE28C91" w14:textId="219A18E3" w:rsidR="00FF1C37" w:rsidRPr="006D26BB" w:rsidRDefault="00FF1C37" w:rsidP="00FF1C37">
            <w:pPr>
              <w:spacing w:after="0" w:line="240" w:lineRule="auto"/>
              <w:jc w:val="right"/>
              <w:rPr>
                <w:rFonts w:asciiTheme="minorHAnsi" w:hAnsiTheme="minorHAnsi" w:cstheme="minorHAnsi"/>
                <w:b/>
                <w:color w:val="000000" w:themeColor="text1"/>
                <w:sz w:val="20"/>
                <w:szCs w:val="20"/>
              </w:rPr>
            </w:pPr>
            <w:r w:rsidRPr="006D26BB">
              <w:rPr>
                <w:rFonts w:asciiTheme="minorHAnsi" w:hAnsiTheme="minorHAnsi" w:cstheme="minorHAnsi"/>
                <w:b/>
                <w:bCs/>
                <w:color w:val="000000"/>
                <w:sz w:val="20"/>
                <w:szCs w:val="20"/>
              </w:rPr>
              <w:t xml:space="preserve">      7,28</w:t>
            </w:r>
            <w:r w:rsidR="0049527B">
              <w:rPr>
                <w:rFonts w:asciiTheme="minorHAnsi" w:hAnsiTheme="minorHAnsi" w:cstheme="minorHAnsi"/>
                <w:b/>
                <w:bCs/>
                <w:color w:val="000000"/>
                <w:sz w:val="20"/>
                <w:szCs w:val="20"/>
              </w:rPr>
              <w:t>0</w:t>
            </w:r>
            <w:r w:rsidRPr="006D26BB">
              <w:rPr>
                <w:rFonts w:asciiTheme="minorHAnsi" w:hAnsiTheme="minorHAnsi" w:cstheme="minorHAnsi"/>
                <w:b/>
                <w:bCs/>
                <w:color w:val="000000"/>
                <w:sz w:val="20"/>
                <w:szCs w:val="20"/>
              </w:rPr>
              <w:t xml:space="preserve"> </w:t>
            </w:r>
          </w:p>
        </w:tc>
        <w:tc>
          <w:tcPr>
            <w:tcW w:w="1504" w:type="dxa"/>
            <w:tcBorders>
              <w:top w:val="nil"/>
              <w:left w:val="nil"/>
              <w:bottom w:val="single" w:sz="8" w:space="0" w:color="auto"/>
              <w:right w:val="nil"/>
            </w:tcBorders>
            <w:shd w:val="clear" w:color="000000" w:fill="FFFFFF"/>
            <w:vAlign w:val="bottom"/>
            <w:hideMark/>
          </w:tcPr>
          <w:p w14:paraId="7137619A" w14:textId="270B4749" w:rsidR="00FF1C37" w:rsidRPr="006D26BB" w:rsidRDefault="00FF1C37" w:rsidP="00FF1C37">
            <w:pPr>
              <w:spacing w:after="0" w:line="240" w:lineRule="auto"/>
              <w:jc w:val="right"/>
              <w:rPr>
                <w:rFonts w:asciiTheme="minorHAnsi" w:hAnsiTheme="minorHAnsi" w:cstheme="minorHAnsi"/>
                <w:b/>
                <w:color w:val="000000" w:themeColor="text1"/>
                <w:sz w:val="20"/>
                <w:szCs w:val="20"/>
              </w:rPr>
            </w:pPr>
            <w:r w:rsidRPr="006D26BB">
              <w:rPr>
                <w:rFonts w:asciiTheme="minorHAnsi" w:hAnsiTheme="minorHAnsi" w:cstheme="minorHAnsi"/>
                <w:b/>
                <w:bCs/>
                <w:color w:val="000000"/>
                <w:sz w:val="20"/>
                <w:szCs w:val="20"/>
              </w:rPr>
              <w:t xml:space="preserve">      7,620 </w:t>
            </w:r>
          </w:p>
        </w:tc>
        <w:tc>
          <w:tcPr>
            <w:tcW w:w="1504" w:type="dxa"/>
            <w:tcBorders>
              <w:top w:val="single" w:sz="8" w:space="0" w:color="auto"/>
              <w:left w:val="nil"/>
              <w:bottom w:val="single" w:sz="8" w:space="0" w:color="auto"/>
              <w:right w:val="nil"/>
            </w:tcBorders>
            <w:shd w:val="clear" w:color="000000" w:fill="FFFFFF"/>
            <w:noWrap/>
            <w:vAlign w:val="bottom"/>
            <w:hideMark/>
          </w:tcPr>
          <w:p w14:paraId="74A8435C" w14:textId="2FB97DCE" w:rsidR="00FF1C37" w:rsidRPr="006D26BB" w:rsidRDefault="00FF1C37" w:rsidP="00FF1C37">
            <w:pPr>
              <w:spacing w:after="0" w:line="240" w:lineRule="auto"/>
              <w:jc w:val="right"/>
              <w:rPr>
                <w:rFonts w:asciiTheme="minorHAnsi" w:hAnsiTheme="minorHAnsi" w:cstheme="minorHAnsi"/>
                <w:b/>
                <w:color w:val="000000" w:themeColor="text1"/>
                <w:sz w:val="20"/>
                <w:szCs w:val="20"/>
              </w:rPr>
            </w:pPr>
            <w:r w:rsidRPr="006D26BB">
              <w:rPr>
                <w:rFonts w:asciiTheme="minorHAnsi" w:hAnsiTheme="minorHAnsi" w:cstheme="minorHAnsi"/>
                <w:b/>
                <w:bCs/>
                <w:color w:val="000000"/>
                <w:sz w:val="20"/>
                <w:szCs w:val="20"/>
              </w:rPr>
              <w:t xml:space="preserve">     (3</w:t>
            </w:r>
            <w:r w:rsidR="0049527B">
              <w:rPr>
                <w:rFonts w:asciiTheme="minorHAnsi" w:hAnsiTheme="minorHAnsi" w:cstheme="minorHAnsi"/>
                <w:b/>
                <w:bCs/>
                <w:color w:val="000000"/>
                <w:sz w:val="20"/>
                <w:szCs w:val="20"/>
              </w:rPr>
              <w:t>40</w:t>
            </w:r>
            <w:r w:rsidRPr="006D26BB">
              <w:rPr>
                <w:rFonts w:asciiTheme="minorHAnsi" w:hAnsiTheme="minorHAnsi" w:cstheme="minorHAnsi"/>
                <w:b/>
                <w:bCs/>
                <w:color w:val="000000"/>
                <w:sz w:val="20"/>
                <w:szCs w:val="20"/>
              </w:rPr>
              <w:t>)</w:t>
            </w:r>
          </w:p>
        </w:tc>
        <w:tc>
          <w:tcPr>
            <w:tcW w:w="831" w:type="dxa"/>
            <w:tcBorders>
              <w:top w:val="single" w:sz="8" w:space="0" w:color="auto"/>
              <w:left w:val="nil"/>
              <w:bottom w:val="single" w:sz="8" w:space="0" w:color="auto"/>
              <w:right w:val="nil"/>
            </w:tcBorders>
            <w:shd w:val="clear" w:color="000000" w:fill="FFFFFF"/>
            <w:noWrap/>
            <w:vAlign w:val="bottom"/>
            <w:hideMark/>
          </w:tcPr>
          <w:p w14:paraId="762D0858" w14:textId="6C2C5CAE" w:rsidR="00FF1C37" w:rsidRPr="006D26BB" w:rsidRDefault="00FF1C37" w:rsidP="00FF1C37">
            <w:pPr>
              <w:spacing w:after="0" w:line="240" w:lineRule="auto"/>
              <w:jc w:val="right"/>
              <w:rPr>
                <w:rFonts w:asciiTheme="minorHAnsi" w:hAnsiTheme="minorHAnsi" w:cstheme="minorHAnsi"/>
                <w:b/>
                <w:color w:val="000000" w:themeColor="text1"/>
                <w:sz w:val="20"/>
                <w:szCs w:val="20"/>
              </w:rPr>
            </w:pPr>
            <w:r w:rsidRPr="006D26BB">
              <w:rPr>
                <w:rFonts w:asciiTheme="minorHAnsi" w:hAnsiTheme="minorHAnsi" w:cstheme="minorHAnsi"/>
                <w:b/>
                <w:bCs/>
                <w:color w:val="000000"/>
                <w:sz w:val="20"/>
                <w:szCs w:val="20"/>
              </w:rPr>
              <w:t>-4%</w:t>
            </w:r>
          </w:p>
        </w:tc>
      </w:tr>
    </w:tbl>
    <w:p w14:paraId="569E25DE" w14:textId="77777777" w:rsidR="00243A3F" w:rsidRPr="006D26BB" w:rsidRDefault="00243A3F" w:rsidP="00243A3F">
      <w:pPr>
        <w:pStyle w:val="Body"/>
        <w:spacing w:before="0" w:after="0" w:line="240" w:lineRule="auto"/>
        <w:ind w:left="0"/>
        <w:rPr>
          <w:rFonts w:asciiTheme="minorHAnsi" w:hAnsiTheme="minorHAnsi" w:cstheme="minorHAnsi"/>
          <w:bCs/>
          <w:i/>
          <w:iCs/>
          <w:color w:val="000000" w:themeColor="text1"/>
          <w:szCs w:val="20"/>
          <w:lang w:val="en-GB"/>
        </w:rPr>
      </w:pPr>
      <w:r w:rsidRPr="006D26BB">
        <w:rPr>
          <w:rFonts w:asciiTheme="minorHAnsi" w:hAnsiTheme="minorHAnsi" w:cstheme="minorHAnsi"/>
          <w:bCs/>
          <w:i/>
          <w:iCs/>
          <w:color w:val="000000" w:themeColor="text1"/>
          <w:szCs w:val="20"/>
          <w:lang w:val="en-GB"/>
        </w:rPr>
        <w:t>*Adjusted measures are before share-based payment expense and non-recurring items.</w:t>
      </w:r>
    </w:p>
    <w:p w14:paraId="21D0C898" w14:textId="77777777" w:rsidR="006217AE" w:rsidRPr="006D26BB" w:rsidRDefault="006217AE" w:rsidP="00243A3F">
      <w:pPr>
        <w:widowControl w:val="0"/>
        <w:autoSpaceDE w:val="0"/>
        <w:autoSpaceDN w:val="0"/>
        <w:adjustRightInd w:val="0"/>
        <w:spacing w:after="0" w:line="240" w:lineRule="auto"/>
        <w:rPr>
          <w:rFonts w:asciiTheme="minorHAnsi" w:hAnsiTheme="minorHAnsi" w:cstheme="minorHAnsi"/>
          <w:bCs/>
          <w:color w:val="000000" w:themeColor="text1"/>
          <w:sz w:val="20"/>
          <w:szCs w:val="20"/>
        </w:rPr>
      </w:pPr>
    </w:p>
    <w:p w14:paraId="354E77DD" w14:textId="7813D8A7" w:rsidR="00243A3F" w:rsidRPr="006D26BB" w:rsidRDefault="00243A3F" w:rsidP="00243A3F">
      <w:pPr>
        <w:widowControl w:val="0"/>
        <w:overflowPunct w:val="0"/>
        <w:autoSpaceDE w:val="0"/>
        <w:autoSpaceDN w:val="0"/>
        <w:adjustRightInd w:val="0"/>
        <w:spacing w:after="0" w:line="240" w:lineRule="auto"/>
        <w:rPr>
          <w:rFonts w:asciiTheme="minorHAnsi" w:hAnsiTheme="minorHAnsi" w:cstheme="minorHAnsi"/>
          <w:b/>
          <w:color w:val="000000" w:themeColor="text1"/>
          <w:sz w:val="20"/>
          <w:szCs w:val="20"/>
        </w:rPr>
      </w:pPr>
      <w:r w:rsidRPr="006D26BB">
        <w:rPr>
          <w:rFonts w:asciiTheme="minorHAnsi" w:hAnsiTheme="minorHAnsi" w:cstheme="minorHAnsi"/>
          <w:b/>
          <w:color w:val="000000" w:themeColor="text1"/>
          <w:sz w:val="20"/>
          <w:szCs w:val="20"/>
        </w:rPr>
        <w:t>Revenue</w:t>
      </w:r>
    </w:p>
    <w:p w14:paraId="5CA1201A" w14:textId="1828C226" w:rsidR="00243A3F" w:rsidRPr="006D26BB" w:rsidRDefault="00243A3F" w:rsidP="00984E3D">
      <w:pPr>
        <w:widowControl w:val="0"/>
        <w:overflowPunct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D26BB">
        <w:rPr>
          <w:rFonts w:asciiTheme="minorHAnsi" w:hAnsiTheme="minorHAnsi" w:cstheme="minorHAnsi"/>
          <w:bCs/>
          <w:color w:val="000000" w:themeColor="text1"/>
          <w:sz w:val="20"/>
          <w:szCs w:val="20"/>
        </w:rPr>
        <w:t xml:space="preserve">Group revenue has increased by </w:t>
      </w:r>
      <w:r w:rsidR="00984E3D" w:rsidRPr="006D26BB">
        <w:rPr>
          <w:rFonts w:asciiTheme="minorHAnsi" w:hAnsiTheme="minorHAnsi" w:cstheme="minorHAnsi"/>
          <w:bCs/>
          <w:color w:val="000000" w:themeColor="text1"/>
          <w:sz w:val="20"/>
          <w:szCs w:val="20"/>
        </w:rPr>
        <w:t>2</w:t>
      </w:r>
      <w:r w:rsidRPr="006D26BB">
        <w:rPr>
          <w:rFonts w:asciiTheme="minorHAnsi" w:hAnsiTheme="minorHAnsi" w:cstheme="minorHAnsi"/>
          <w:bCs/>
          <w:color w:val="000000" w:themeColor="text1"/>
          <w:sz w:val="20"/>
          <w:szCs w:val="20"/>
        </w:rPr>
        <w:t>% to £</w:t>
      </w:r>
      <w:r w:rsidR="00984E3D" w:rsidRPr="006D26BB">
        <w:rPr>
          <w:rFonts w:asciiTheme="minorHAnsi" w:hAnsiTheme="minorHAnsi" w:cstheme="minorHAnsi"/>
          <w:bCs/>
          <w:color w:val="000000" w:themeColor="text1"/>
          <w:sz w:val="20"/>
          <w:szCs w:val="20"/>
        </w:rPr>
        <w:t>87.6</w:t>
      </w:r>
      <w:r w:rsidRPr="006D26BB">
        <w:rPr>
          <w:rFonts w:asciiTheme="minorHAnsi" w:hAnsiTheme="minorHAnsi" w:cstheme="minorHAnsi"/>
          <w:bCs/>
          <w:color w:val="000000" w:themeColor="text1"/>
          <w:sz w:val="20"/>
          <w:szCs w:val="20"/>
        </w:rPr>
        <w:t>m in the period (</w:t>
      </w:r>
      <w:r w:rsidR="00984E3D" w:rsidRPr="006D26BB">
        <w:rPr>
          <w:rFonts w:asciiTheme="minorHAnsi" w:hAnsiTheme="minorHAnsi" w:cstheme="minorHAnsi"/>
          <w:bCs/>
          <w:color w:val="000000" w:themeColor="text1"/>
          <w:sz w:val="20"/>
          <w:szCs w:val="20"/>
        </w:rPr>
        <w:t>H1 2022</w:t>
      </w:r>
      <w:r w:rsidRPr="006D26BB">
        <w:rPr>
          <w:rFonts w:asciiTheme="minorHAnsi" w:hAnsiTheme="minorHAnsi" w:cstheme="minorHAnsi"/>
          <w:bCs/>
          <w:color w:val="000000" w:themeColor="text1"/>
          <w:sz w:val="20"/>
          <w:szCs w:val="20"/>
        </w:rPr>
        <w:t>: £</w:t>
      </w:r>
      <w:r w:rsidR="00984E3D" w:rsidRPr="006D26BB">
        <w:rPr>
          <w:rFonts w:asciiTheme="minorHAnsi" w:hAnsiTheme="minorHAnsi" w:cstheme="minorHAnsi"/>
          <w:bCs/>
          <w:color w:val="000000" w:themeColor="text1"/>
          <w:sz w:val="20"/>
          <w:szCs w:val="20"/>
        </w:rPr>
        <w:t>85.7</w:t>
      </w:r>
      <w:r w:rsidRPr="006D26BB">
        <w:rPr>
          <w:rFonts w:asciiTheme="minorHAnsi" w:hAnsiTheme="minorHAnsi" w:cstheme="minorHAnsi"/>
          <w:bCs/>
          <w:color w:val="000000" w:themeColor="text1"/>
          <w:sz w:val="20"/>
          <w:szCs w:val="20"/>
        </w:rPr>
        <w:t xml:space="preserve">m). </w:t>
      </w:r>
      <w:r w:rsidR="006D26BB">
        <w:rPr>
          <w:rFonts w:asciiTheme="minorHAnsi" w:hAnsiTheme="minorHAnsi" w:cstheme="minorHAnsi"/>
          <w:bCs/>
          <w:color w:val="000000" w:themeColor="text1"/>
          <w:sz w:val="20"/>
          <w:szCs w:val="20"/>
        </w:rPr>
        <w:t xml:space="preserve">Due to our </w:t>
      </w:r>
      <w:r w:rsidR="00AF4101">
        <w:rPr>
          <w:rFonts w:asciiTheme="minorHAnsi" w:hAnsiTheme="minorHAnsi" w:cstheme="minorHAnsi"/>
          <w:bCs/>
          <w:color w:val="000000" w:themeColor="text1"/>
          <w:sz w:val="20"/>
          <w:szCs w:val="20"/>
        </w:rPr>
        <w:t xml:space="preserve">ongoing </w:t>
      </w:r>
      <w:r w:rsidR="006D26BB">
        <w:rPr>
          <w:rFonts w:asciiTheme="minorHAnsi" w:hAnsiTheme="minorHAnsi" w:cstheme="minorHAnsi"/>
          <w:bCs/>
          <w:color w:val="000000" w:themeColor="text1"/>
          <w:sz w:val="20"/>
          <w:szCs w:val="20"/>
        </w:rPr>
        <w:t xml:space="preserve">focus on </w:t>
      </w:r>
      <w:r w:rsidR="006D26BB">
        <w:rPr>
          <w:rFonts w:asciiTheme="minorHAnsi" w:hAnsiTheme="minorHAnsi" w:cstheme="minorHAnsi"/>
          <w:bCs/>
          <w:color w:val="000000" w:themeColor="text1"/>
          <w:sz w:val="20"/>
          <w:szCs w:val="20"/>
        </w:rPr>
        <w:lastRenderedPageBreak/>
        <w:t>sourcing the best products at the best price for our customers and consumers</w:t>
      </w:r>
      <w:r w:rsidR="00AF4101">
        <w:rPr>
          <w:rFonts w:asciiTheme="minorHAnsi" w:hAnsiTheme="minorHAnsi" w:cstheme="minorHAnsi"/>
          <w:bCs/>
          <w:color w:val="000000" w:themeColor="text1"/>
          <w:sz w:val="20"/>
          <w:szCs w:val="20"/>
        </w:rPr>
        <w:t>, prices have followed their long-</w:t>
      </w:r>
      <w:r w:rsidR="00AF4101" w:rsidRPr="002340A1">
        <w:rPr>
          <w:rFonts w:asciiTheme="minorHAnsi" w:hAnsiTheme="minorHAnsi" w:cstheme="minorHAnsi"/>
          <w:bCs/>
          <w:sz w:val="20"/>
          <w:szCs w:val="20"/>
        </w:rPr>
        <w:t>term</w:t>
      </w:r>
      <w:r w:rsidR="006D26BB" w:rsidRPr="002340A1">
        <w:rPr>
          <w:rFonts w:asciiTheme="minorHAnsi" w:hAnsiTheme="minorHAnsi" w:cstheme="minorHAnsi"/>
          <w:bCs/>
          <w:sz w:val="20"/>
          <w:szCs w:val="20"/>
        </w:rPr>
        <w:t xml:space="preserve"> </w:t>
      </w:r>
      <w:r w:rsidR="00AF4101" w:rsidRPr="002340A1">
        <w:rPr>
          <w:rFonts w:asciiTheme="minorHAnsi" w:hAnsiTheme="minorHAnsi" w:cstheme="minorHAnsi"/>
          <w:bCs/>
          <w:sz w:val="20"/>
          <w:szCs w:val="20"/>
        </w:rPr>
        <w:t xml:space="preserve">trend with </w:t>
      </w:r>
      <w:r w:rsidR="006D26BB" w:rsidRPr="002340A1">
        <w:rPr>
          <w:rFonts w:asciiTheme="minorHAnsi" w:hAnsiTheme="minorHAnsi" w:cstheme="minorHAnsi"/>
          <w:bCs/>
          <w:sz w:val="20"/>
          <w:szCs w:val="20"/>
        </w:rPr>
        <w:t xml:space="preserve">no </w:t>
      </w:r>
      <w:r w:rsidR="00173794" w:rsidRPr="002340A1">
        <w:rPr>
          <w:rFonts w:asciiTheme="minorHAnsi" w:hAnsiTheme="minorHAnsi" w:cstheme="minorHAnsi"/>
          <w:bCs/>
          <w:sz w:val="20"/>
          <w:szCs w:val="20"/>
        </w:rPr>
        <w:t xml:space="preserve">price </w:t>
      </w:r>
      <w:r w:rsidR="006D26BB" w:rsidRPr="002340A1">
        <w:rPr>
          <w:rFonts w:asciiTheme="minorHAnsi" w:hAnsiTheme="minorHAnsi" w:cstheme="minorHAnsi"/>
          <w:bCs/>
          <w:sz w:val="20"/>
          <w:szCs w:val="20"/>
        </w:rPr>
        <w:t xml:space="preserve">inflation </w:t>
      </w:r>
      <w:r w:rsidR="00173794" w:rsidRPr="002340A1">
        <w:rPr>
          <w:rFonts w:asciiTheme="minorHAnsi" w:hAnsiTheme="minorHAnsi" w:cstheme="minorHAnsi"/>
          <w:bCs/>
          <w:sz w:val="20"/>
          <w:szCs w:val="20"/>
        </w:rPr>
        <w:t>contributing to</w:t>
      </w:r>
      <w:r w:rsidR="006D26BB" w:rsidRPr="002340A1">
        <w:rPr>
          <w:rFonts w:asciiTheme="minorHAnsi" w:hAnsiTheme="minorHAnsi" w:cstheme="minorHAnsi"/>
          <w:bCs/>
          <w:sz w:val="20"/>
          <w:szCs w:val="20"/>
        </w:rPr>
        <w:t xml:space="preserve"> our top line</w:t>
      </w:r>
      <w:r w:rsidR="00173794" w:rsidRPr="002340A1">
        <w:rPr>
          <w:rFonts w:asciiTheme="minorHAnsi" w:hAnsiTheme="minorHAnsi" w:cstheme="minorHAnsi"/>
          <w:bCs/>
          <w:sz w:val="20"/>
          <w:szCs w:val="20"/>
        </w:rPr>
        <w:t xml:space="preserve"> growth</w:t>
      </w:r>
      <w:r w:rsidR="006D26BB" w:rsidRPr="002340A1">
        <w:rPr>
          <w:rFonts w:asciiTheme="minorHAnsi" w:hAnsiTheme="minorHAnsi" w:cstheme="minorHAnsi"/>
          <w:bCs/>
          <w:sz w:val="20"/>
          <w:szCs w:val="20"/>
        </w:rPr>
        <w:t xml:space="preserve">. </w:t>
      </w:r>
      <w:r w:rsidR="00984E3D" w:rsidRPr="002340A1">
        <w:rPr>
          <w:rFonts w:asciiTheme="minorHAnsi" w:hAnsiTheme="minorHAnsi" w:cstheme="minorHAnsi"/>
          <w:sz w:val="20"/>
          <w:szCs w:val="20"/>
        </w:rPr>
        <w:t xml:space="preserve">Online channels were the main driver of this growth, supported by the continued normalisation of global supply chains. In addition, consumer demand for energy efficient and money saving products has remained buoyant across all channels throughout the period. </w:t>
      </w:r>
      <w:r w:rsidR="00550863" w:rsidRPr="002340A1">
        <w:rPr>
          <w:rFonts w:asciiTheme="minorHAnsi" w:hAnsiTheme="minorHAnsi" w:cstheme="minorHAnsi"/>
          <w:sz w:val="20"/>
          <w:szCs w:val="20"/>
        </w:rPr>
        <w:t xml:space="preserve">This has meant that Salter </w:t>
      </w:r>
      <w:r w:rsidR="00173794" w:rsidRPr="002340A1">
        <w:rPr>
          <w:rFonts w:asciiTheme="minorHAnsi" w:hAnsiTheme="minorHAnsi" w:cstheme="minorHAnsi"/>
          <w:sz w:val="20"/>
          <w:szCs w:val="20"/>
        </w:rPr>
        <w:t>products</w:t>
      </w:r>
      <w:r w:rsidR="00550863" w:rsidRPr="002340A1">
        <w:rPr>
          <w:rFonts w:asciiTheme="minorHAnsi" w:hAnsiTheme="minorHAnsi" w:cstheme="minorHAnsi"/>
          <w:sz w:val="20"/>
          <w:szCs w:val="20"/>
        </w:rPr>
        <w:t>, a</w:t>
      </w:r>
      <w:r w:rsidR="00173794" w:rsidRPr="002340A1">
        <w:rPr>
          <w:rFonts w:asciiTheme="minorHAnsi" w:hAnsiTheme="minorHAnsi" w:cstheme="minorHAnsi"/>
          <w:sz w:val="20"/>
          <w:szCs w:val="20"/>
        </w:rPr>
        <w:t>longside</w:t>
      </w:r>
      <w:r w:rsidR="00550863" w:rsidRPr="002340A1">
        <w:rPr>
          <w:rFonts w:asciiTheme="minorHAnsi" w:hAnsiTheme="minorHAnsi" w:cstheme="minorHAnsi"/>
          <w:sz w:val="20"/>
          <w:szCs w:val="20"/>
        </w:rPr>
        <w:t xml:space="preserve"> </w:t>
      </w:r>
      <w:r w:rsidR="00173794" w:rsidRPr="002340A1">
        <w:rPr>
          <w:rFonts w:asciiTheme="minorHAnsi" w:hAnsiTheme="minorHAnsi" w:cstheme="minorHAnsi"/>
          <w:sz w:val="20"/>
          <w:szCs w:val="20"/>
        </w:rPr>
        <w:t xml:space="preserve">our overall </w:t>
      </w:r>
      <w:r w:rsidR="00550863" w:rsidRPr="002340A1">
        <w:rPr>
          <w:rFonts w:asciiTheme="minorHAnsi" w:hAnsiTheme="minorHAnsi" w:cstheme="minorHAnsi"/>
          <w:sz w:val="20"/>
          <w:szCs w:val="20"/>
        </w:rPr>
        <w:t>small domestic appliance</w:t>
      </w:r>
      <w:r w:rsidR="00173794" w:rsidRPr="002340A1">
        <w:rPr>
          <w:rFonts w:asciiTheme="minorHAnsi" w:hAnsiTheme="minorHAnsi" w:cstheme="minorHAnsi"/>
          <w:sz w:val="20"/>
          <w:szCs w:val="20"/>
        </w:rPr>
        <w:t xml:space="preserve"> offering</w:t>
      </w:r>
      <w:r w:rsidR="00550863" w:rsidRPr="002340A1">
        <w:rPr>
          <w:rFonts w:asciiTheme="minorHAnsi" w:hAnsiTheme="minorHAnsi" w:cstheme="minorHAnsi"/>
          <w:sz w:val="20"/>
          <w:szCs w:val="20"/>
        </w:rPr>
        <w:t xml:space="preserve"> </w:t>
      </w:r>
      <w:r w:rsidR="00173794" w:rsidRPr="002340A1">
        <w:rPr>
          <w:rFonts w:asciiTheme="minorHAnsi" w:hAnsiTheme="minorHAnsi" w:cstheme="minorHAnsi"/>
          <w:sz w:val="20"/>
          <w:szCs w:val="20"/>
        </w:rPr>
        <w:t>(which includes</w:t>
      </w:r>
      <w:r w:rsidR="00550863" w:rsidRPr="002340A1">
        <w:rPr>
          <w:rFonts w:asciiTheme="minorHAnsi" w:hAnsiTheme="minorHAnsi" w:cstheme="minorHAnsi"/>
          <w:sz w:val="20"/>
          <w:szCs w:val="20"/>
        </w:rPr>
        <w:t xml:space="preserve"> air fryers</w:t>
      </w:r>
      <w:r w:rsidR="00173794" w:rsidRPr="002340A1">
        <w:rPr>
          <w:rFonts w:asciiTheme="minorHAnsi" w:hAnsiTheme="minorHAnsi" w:cstheme="minorHAnsi"/>
          <w:sz w:val="20"/>
          <w:szCs w:val="20"/>
        </w:rPr>
        <w:t>)</w:t>
      </w:r>
      <w:r w:rsidR="00550863" w:rsidRPr="002340A1">
        <w:rPr>
          <w:rFonts w:asciiTheme="minorHAnsi" w:hAnsiTheme="minorHAnsi" w:cstheme="minorHAnsi"/>
          <w:sz w:val="20"/>
          <w:szCs w:val="20"/>
        </w:rPr>
        <w:t xml:space="preserve">, have proved </w:t>
      </w:r>
      <w:r w:rsidR="00173794" w:rsidRPr="002340A1">
        <w:rPr>
          <w:rFonts w:asciiTheme="minorHAnsi" w:hAnsiTheme="minorHAnsi" w:cstheme="minorHAnsi"/>
          <w:sz w:val="20"/>
          <w:szCs w:val="20"/>
        </w:rPr>
        <w:t xml:space="preserve">especially </w:t>
      </w:r>
      <w:r w:rsidR="00550863" w:rsidRPr="002340A1">
        <w:rPr>
          <w:rFonts w:asciiTheme="minorHAnsi" w:hAnsiTheme="minorHAnsi" w:cstheme="minorHAnsi"/>
          <w:sz w:val="20"/>
          <w:szCs w:val="20"/>
        </w:rPr>
        <w:t xml:space="preserve">popular in the period. </w:t>
      </w:r>
    </w:p>
    <w:p w14:paraId="2C596282" w14:textId="77777777" w:rsidR="00243A3F" w:rsidRPr="006D26BB" w:rsidRDefault="00243A3F" w:rsidP="00243A3F">
      <w:pPr>
        <w:widowControl w:val="0"/>
        <w:overflowPunct w:val="0"/>
        <w:autoSpaceDE w:val="0"/>
        <w:autoSpaceDN w:val="0"/>
        <w:adjustRightInd w:val="0"/>
        <w:spacing w:after="0" w:line="240" w:lineRule="auto"/>
        <w:rPr>
          <w:rFonts w:asciiTheme="minorHAnsi" w:hAnsiTheme="minorHAnsi" w:cstheme="minorHAnsi"/>
          <w:bCs/>
          <w:i/>
          <w:iCs/>
          <w:color w:val="000000" w:themeColor="text1"/>
          <w:sz w:val="20"/>
          <w:szCs w:val="20"/>
        </w:rPr>
      </w:pPr>
    </w:p>
    <w:p w14:paraId="5A6AE007" w14:textId="4B239E19" w:rsidR="00243A3F" w:rsidRPr="006D26BB" w:rsidRDefault="00243A3F" w:rsidP="00243A3F">
      <w:pPr>
        <w:spacing w:after="0" w:line="240" w:lineRule="auto"/>
        <w:jc w:val="both"/>
        <w:rPr>
          <w:rFonts w:asciiTheme="minorHAnsi" w:hAnsiTheme="minorHAnsi" w:cstheme="minorHAnsi"/>
          <w:b/>
          <w:bCs/>
          <w:i/>
          <w:iCs/>
          <w:color w:val="000000" w:themeColor="text1"/>
          <w:sz w:val="20"/>
          <w:szCs w:val="20"/>
        </w:rPr>
      </w:pPr>
      <w:r w:rsidRPr="006D26BB">
        <w:rPr>
          <w:rFonts w:asciiTheme="minorHAnsi" w:hAnsiTheme="minorHAnsi" w:cstheme="minorHAnsi"/>
          <w:b/>
          <w:bCs/>
          <w:i/>
          <w:iCs/>
          <w:color w:val="000000" w:themeColor="text1"/>
          <w:sz w:val="20"/>
          <w:szCs w:val="20"/>
        </w:rPr>
        <w:t>International</w:t>
      </w:r>
    </w:p>
    <w:p w14:paraId="0BCBBCC1" w14:textId="40068C58" w:rsidR="006D4FEA" w:rsidRPr="006D26BB" w:rsidRDefault="006D4FEA" w:rsidP="00243A3F">
      <w:pPr>
        <w:spacing w:after="0" w:line="240" w:lineRule="auto"/>
        <w:jc w:val="both"/>
        <w:rPr>
          <w:rFonts w:asciiTheme="minorHAnsi" w:hAnsiTheme="minorHAnsi" w:cstheme="minorHAnsi"/>
          <w:color w:val="000000" w:themeColor="text1"/>
          <w:sz w:val="20"/>
          <w:szCs w:val="20"/>
        </w:rPr>
      </w:pPr>
      <w:r w:rsidRPr="006D26BB">
        <w:rPr>
          <w:rFonts w:asciiTheme="minorHAnsi" w:hAnsiTheme="minorHAnsi" w:cstheme="minorHAnsi"/>
          <w:color w:val="000000" w:themeColor="text1"/>
          <w:sz w:val="20"/>
          <w:szCs w:val="20"/>
        </w:rPr>
        <w:t>International revenue decreased in the period</w:t>
      </w:r>
      <w:r w:rsidR="00050972" w:rsidRPr="006D26BB">
        <w:rPr>
          <w:rFonts w:asciiTheme="minorHAnsi" w:hAnsiTheme="minorHAnsi" w:cstheme="minorHAnsi"/>
          <w:color w:val="000000" w:themeColor="text1"/>
          <w:sz w:val="20"/>
          <w:szCs w:val="20"/>
        </w:rPr>
        <w:t xml:space="preserve"> to £25.0m (H1 2022: £29.0m)</w:t>
      </w:r>
      <w:r w:rsidRPr="006D26BB">
        <w:rPr>
          <w:rFonts w:asciiTheme="minorHAnsi" w:hAnsiTheme="minorHAnsi" w:cstheme="minorHAnsi"/>
          <w:color w:val="000000" w:themeColor="text1"/>
          <w:sz w:val="20"/>
          <w:szCs w:val="20"/>
        </w:rPr>
        <w:t xml:space="preserve">, </w:t>
      </w:r>
      <w:r w:rsidR="004A3E79">
        <w:rPr>
          <w:rFonts w:asciiTheme="minorHAnsi" w:hAnsiTheme="minorHAnsi" w:cstheme="minorHAnsi"/>
          <w:color w:val="000000" w:themeColor="text1"/>
          <w:sz w:val="20"/>
          <w:szCs w:val="20"/>
        </w:rPr>
        <w:t>as a result of</w:t>
      </w:r>
      <w:r w:rsidR="004A3E79" w:rsidRPr="006D26BB">
        <w:rPr>
          <w:rFonts w:asciiTheme="minorHAnsi" w:hAnsiTheme="minorHAnsi" w:cstheme="minorHAnsi"/>
          <w:color w:val="000000" w:themeColor="text1"/>
          <w:sz w:val="20"/>
          <w:szCs w:val="20"/>
        </w:rPr>
        <w:t xml:space="preserve"> </w:t>
      </w:r>
      <w:r w:rsidR="00AF4101">
        <w:rPr>
          <w:rFonts w:asciiTheme="minorHAnsi" w:hAnsiTheme="minorHAnsi" w:cstheme="minorHAnsi"/>
          <w:color w:val="000000" w:themeColor="text1"/>
          <w:sz w:val="20"/>
          <w:szCs w:val="20"/>
        </w:rPr>
        <w:t xml:space="preserve">continued overstocking by discounters, and </w:t>
      </w:r>
      <w:r w:rsidRPr="006D26BB">
        <w:rPr>
          <w:rFonts w:asciiTheme="minorHAnsi" w:hAnsiTheme="minorHAnsi" w:cstheme="minorHAnsi"/>
          <w:color w:val="000000" w:themeColor="text1"/>
          <w:sz w:val="20"/>
          <w:szCs w:val="20"/>
        </w:rPr>
        <w:t xml:space="preserve">the </w:t>
      </w:r>
      <w:r w:rsidR="00050972" w:rsidRPr="006D26BB">
        <w:rPr>
          <w:rFonts w:asciiTheme="minorHAnsi" w:hAnsiTheme="minorHAnsi" w:cstheme="minorHAnsi"/>
          <w:color w:val="000000" w:themeColor="text1"/>
          <w:sz w:val="20"/>
          <w:szCs w:val="20"/>
        </w:rPr>
        <w:t>demand for energy efficient and money saving products being weighted towards the UK</w:t>
      </w:r>
      <w:r w:rsidR="00173794">
        <w:rPr>
          <w:rFonts w:asciiTheme="minorHAnsi" w:hAnsiTheme="minorHAnsi" w:cstheme="minorHAnsi"/>
          <w:color w:val="000000" w:themeColor="text1"/>
          <w:sz w:val="20"/>
          <w:szCs w:val="20"/>
        </w:rPr>
        <w:t>.</w:t>
      </w:r>
      <w:r w:rsidR="00050972" w:rsidRPr="006D26BB">
        <w:rPr>
          <w:rFonts w:asciiTheme="minorHAnsi" w:hAnsiTheme="minorHAnsi" w:cstheme="minorHAnsi"/>
          <w:color w:val="000000" w:themeColor="text1"/>
          <w:sz w:val="20"/>
          <w:szCs w:val="20"/>
        </w:rPr>
        <w:t xml:space="preserve"> </w:t>
      </w:r>
      <w:r w:rsidR="00173794">
        <w:rPr>
          <w:rFonts w:asciiTheme="minorHAnsi" w:hAnsiTheme="minorHAnsi" w:cstheme="minorHAnsi"/>
          <w:color w:val="000000" w:themeColor="text1"/>
          <w:sz w:val="20"/>
          <w:szCs w:val="20"/>
        </w:rPr>
        <w:t xml:space="preserve">This performance </w:t>
      </w:r>
      <w:r w:rsidR="00050972" w:rsidRPr="006D26BB">
        <w:rPr>
          <w:rFonts w:asciiTheme="minorHAnsi" w:hAnsiTheme="minorHAnsi" w:cstheme="minorHAnsi"/>
          <w:color w:val="000000" w:themeColor="text1"/>
          <w:sz w:val="20"/>
          <w:szCs w:val="20"/>
        </w:rPr>
        <w:t xml:space="preserve">reverses some of the strong growth we have seen, especially in Germany, which remains </w:t>
      </w:r>
      <w:r w:rsidR="00050972" w:rsidRPr="002340A1">
        <w:rPr>
          <w:rFonts w:asciiTheme="minorHAnsi" w:hAnsiTheme="minorHAnsi" w:cstheme="minorHAnsi"/>
          <w:sz w:val="20"/>
          <w:szCs w:val="20"/>
        </w:rPr>
        <w:t xml:space="preserve">our largest overseas market. However, the period has seen the successful relaunch of Petra, with sales </w:t>
      </w:r>
      <w:r w:rsidR="00F64E0D" w:rsidRPr="002340A1">
        <w:rPr>
          <w:rFonts w:asciiTheme="minorHAnsi" w:hAnsiTheme="minorHAnsi" w:cstheme="minorHAnsi"/>
          <w:sz w:val="20"/>
          <w:szCs w:val="20"/>
        </w:rPr>
        <w:t xml:space="preserve">surpassing </w:t>
      </w:r>
      <w:r w:rsidR="00050972" w:rsidRPr="002340A1">
        <w:rPr>
          <w:rFonts w:asciiTheme="minorHAnsi" w:hAnsiTheme="minorHAnsi" w:cstheme="minorHAnsi"/>
          <w:sz w:val="20"/>
          <w:szCs w:val="20"/>
        </w:rPr>
        <w:t xml:space="preserve">£2m in the period. We continue to see the European market as a key area for long-term growth for the business, as was shown by our investment in attending </w:t>
      </w:r>
      <w:proofErr w:type="spellStart"/>
      <w:r w:rsidR="00050972" w:rsidRPr="002340A1">
        <w:rPr>
          <w:rFonts w:asciiTheme="minorHAnsi" w:hAnsiTheme="minorHAnsi" w:cstheme="minorHAnsi"/>
          <w:sz w:val="20"/>
          <w:szCs w:val="20"/>
        </w:rPr>
        <w:t>Ambiente</w:t>
      </w:r>
      <w:proofErr w:type="spellEnd"/>
      <w:r w:rsidR="00050972" w:rsidRPr="002340A1">
        <w:rPr>
          <w:rFonts w:asciiTheme="minorHAnsi" w:hAnsiTheme="minorHAnsi" w:cstheme="minorHAnsi"/>
          <w:sz w:val="20"/>
          <w:szCs w:val="20"/>
        </w:rPr>
        <w:t>, Europe’s largest housewares show, where we exhibited our high-quality, branded homeware products to some of Europe’s biggest retailers. Our products were very well received, and the event remains an important part of growing brand awareness in th</w:t>
      </w:r>
      <w:r w:rsidR="004A3E79">
        <w:rPr>
          <w:rFonts w:asciiTheme="minorHAnsi" w:hAnsiTheme="minorHAnsi" w:cstheme="minorHAnsi"/>
          <w:sz w:val="20"/>
          <w:szCs w:val="20"/>
        </w:rPr>
        <w:t>e</w:t>
      </w:r>
      <w:r w:rsidR="00050972" w:rsidRPr="002340A1">
        <w:rPr>
          <w:rFonts w:asciiTheme="minorHAnsi" w:hAnsiTheme="minorHAnsi" w:cstheme="minorHAnsi"/>
          <w:sz w:val="20"/>
          <w:szCs w:val="20"/>
        </w:rPr>
        <w:t xml:space="preserve"> strategically important </w:t>
      </w:r>
      <w:r w:rsidR="004A3E79">
        <w:rPr>
          <w:rFonts w:asciiTheme="minorHAnsi" w:hAnsiTheme="minorHAnsi" w:cstheme="minorHAnsi"/>
          <w:sz w:val="20"/>
          <w:szCs w:val="20"/>
        </w:rPr>
        <w:t xml:space="preserve">European </w:t>
      </w:r>
      <w:r w:rsidR="00050972" w:rsidRPr="002340A1">
        <w:rPr>
          <w:rFonts w:asciiTheme="minorHAnsi" w:hAnsiTheme="minorHAnsi" w:cstheme="minorHAnsi"/>
          <w:sz w:val="20"/>
          <w:szCs w:val="20"/>
        </w:rPr>
        <w:t>market</w:t>
      </w:r>
      <w:r w:rsidR="0017327B">
        <w:rPr>
          <w:rFonts w:asciiTheme="minorHAnsi" w:hAnsiTheme="minorHAnsi" w:cstheme="minorHAnsi"/>
          <w:sz w:val="20"/>
          <w:szCs w:val="20"/>
        </w:rPr>
        <w:t>.</w:t>
      </w:r>
    </w:p>
    <w:p w14:paraId="48889143" w14:textId="6210DB85" w:rsidR="000469A9" w:rsidRPr="006D26BB" w:rsidRDefault="000469A9" w:rsidP="00243A3F">
      <w:pPr>
        <w:spacing w:after="0" w:line="240" w:lineRule="auto"/>
        <w:jc w:val="both"/>
        <w:rPr>
          <w:rFonts w:asciiTheme="minorHAnsi" w:hAnsiTheme="minorHAnsi" w:cstheme="minorHAnsi"/>
          <w:b/>
          <w:bCs/>
          <w:i/>
          <w:iCs/>
          <w:color w:val="000000" w:themeColor="text1"/>
          <w:sz w:val="20"/>
          <w:szCs w:val="20"/>
        </w:rPr>
      </w:pPr>
    </w:p>
    <w:p w14:paraId="61AF1989" w14:textId="77777777" w:rsidR="00243A3F" w:rsidRPr="006D26BB" w:rsidRDefault="00243A3F" w:rsidP="00243A3F">
      <w:pPr>
        <w:spacing w:after="0" w:line="240" w:lineRule="auto"/>
        <w:jc w:val="both"/>
        <w:rPr>
          <w:rFonts w:asciiTheme="minorHAnsi" w:hAnsiTheme="minorHAnsi" w:cstheme="minorHAnsi"/>
          <w:b/>
          <w:bCs/>
          <w:i/>
          <w:iCs/>
          <w:color w:val="000000" w:themeColor="text1"/>
          <w:sz w:val="20"/>
          <w:szCs w:val="20"/>
        </w:rPr>
      </w:pPr>
      <w:r w:rsidRPr="006D26BB">
        <w:rPr>
          <w:rFonts w:asciiTheme="minorHAnsi" w:hAnsiTheme="minorHAnsi" w:cstheme="minorHAnsi"/>
          <w:b/>
          <w:bCs/>
          <w:i/>
          <w:iCs/>
          <w:color w:val="000000" w:themeColor="text1"/>
          <w:sz w:val="20"/>
          <w:szCs w:val="20"/>
        </w:rPr>
        <w:t>Supermarkets</w:t>
      </w:r>
    </w:p>
    <w:p w14:paraId="1D5CE9D1" w14:textId="5B8D9D94" w:rsidR="00991FA6" w:rsidRPr="006D26BB" w:rsidRDefault="00991FA6" w:rsidP="00243A3F">
      <w:pPr>
        <w:spacing w:after="0" w:line="240" w:lineRule="auto"/>
        <w:jc w:val="both"/>
        <w:rPr>
          <w:rFonts w:asciiTheme="minorHAnsi" w:hAnsiTheme="minorHAnsi" w:cstheme="minorHAnsi"/>
          <w:bCs/>
          <w:color w:val="000000" w:themeColor="text1"/>
          <w:sz w:val="20"/>
          <w:szCs w:val="20"/>
          <w:lang w:val="en-US"/>
        </w:rPr>
      </w:pPr>
      <w:r w:rsidRPr="006D26BB">
        <w:rPr>
          <w:rFonts w:asciiTheme="minorHAnsi" w:hAnsiTheme="minorHAnsi" w:cstheme="minorHAnsi"/>
          <w:bCs/>
          <w:color w:val="000000" w:themeColor="text1"/>
          <w:sz w:val="20"/>
          <w:szCs w:val="20"/>
          <w:lang w:val="en-US"/>
        </w:rPr>
        <w:t>Although supermarkets continue to be our largest sales channel</w:t>
      </w:r>
      <w:r w:rsidR="00F64E0D">
        <w:rPr>
          <w:rFonts w:asciiTheme="minorHAnsi" w:hAnsiTheme="minorHAnsi" w:cstheme="minorHAnsi"/>
          <w:bCs/>
          <w:color w:val="000000" w:themeColor="text1"/>
          <w:sz w:val="20"/>
          <w:szCs w:val="20"/>
          <w:lang w:val="en-US"/>
        </w:rPr>
        <w:t>,</w:t>
      </w:r>
      <w:r w:rsidRPr="006D26BB">
        <w:rPr>
          <w:rFonts w:asciiTheme="minorHAnsi" w:hAnsiTheme="minorHAnsi" w:cstheme="minorHAnsi"/>
          <w:bCs/>
          <w:color w:val="000000" w:themeColor="text1"/>
          <w:sz w:val="20"/>
          <w:szCs w:val="20"/>
          <w:lang w:val="en-US"/>
        </w:rPr>
        <w:t xml:space="preserve"> and account for 32% of </w:t>
      </w:r>
      <w:r w:rsidR="00F64E0D">
        <w:rPr>
          <w:rFonts w:asciiTheme="minorHAnsi" w:hAnsiTheme="minorHAnsi" w:cstheme="minorHAnsi"/>
          <w:bCs/>
          <w:color w:val="000000" w:themeColor="text1"/>
          <w:sz w:val="20"/>
          <w:szCs w:val="20"/>
          <w:lang w:val="en-US"/>
        </w:rPr>
        <w:t xml:space="preserve">Group </w:t>
      </w:r>
      <w:r w:rsidRPr="006D26BB">
        <w:rPr>
          <w:rFonts w:asciiTheme="minorHAnsi" w:hAnsiTheme="minorHAnsi" w:cstheme="minorHAnsi"/>
          <w:bCs/>
          <w:color w:val="000000" w:themeColor="text1"/>
          <w:sz w:val="20"/>
          <w:szCs w:val="20"/>
          <w:lang w:val="en-US"/>
        </w:rPr>
        <w:t xml:space="preserve">revenue (FY22: 33%), </w:t>
      </w:r>
      <w:r w:rsidR="00F64E0D">
        <w:rPr>
          <w:rFonts w:asciiTheme="minorHAnsi" w:hAnsiTheme="minorHAnsi" w:cstheme="minorHAnsi"/>
          <w:bCs/>
          <w:color w:val="000000" w:themeColor="text1"/>
          <w:sz w:val="20"/>
          <w:szCs w:val="20"/>
          <w:lang w:val="en-US"/>
        </w:rPr>
        <w:t>sales from this channel</w:t>
      </w:r>
      <w:r w:rsidRPr="006D26BB">
        <w:rPr>
          <w:rFonts w:asciiTheme="minorHAnsi" w:hAnsiTheme="minorHAnsi" w:cstheme="minorHAnsi"/>
          <w:bCs/>
          <w:color w:val="000000" w:themeColor="text1"/>
          <w:sz w:val="20"/>
          <w:szCs w:val="20"/>
          <w:lang w:val="en-US"/>
        </w:rPr>
        <w:t xml:space="preserve"> </w:t>
      </w:r>
      <w:r w:rsidR="00F64E0D">
        <w:rPr>
          <w:rFonts w:asciiTheme="minorHAnsi" w:hAnsiTheme="minorHAnsi" w:cstheme="minorHAnsi"/>
          <w:bCs/>
          <w:color w:val="000000" w:themeColor="text1"/>
          <w:sz w:val="20"/>
          <w:szCs w:val="20"/>
          <w:lang w:val="en-US"/>
        </w:rPr>
        <w:t>decreased</w:t>
      </w:r>
      <w:r w:rsidR="00F64E0D" w:rsidRPr="006D26BB">
        <w:rPr>
          <w:rFonts w:asciiTheme="minorHAnsi" w:hAnsiTheme="minorHAnsi" w:cstheme="minorHAnsi"/>
          <w:bCs/>
          <w:color w:val="000000" w:themeColor="text1"/>
          <w:sz w:val="20"/>
          <w:szCs w:val="20"/>
          <w:lang w:val="en-US"/>
        </w:rPr>
        <w:t xml:space="preserve"> </w:t>
      </w:r>
      <w:r w:rsidRPr="006D26BB">
        <w:rPr>
          <w:rFonts w:asciiTheme="minorHAnsi" w:hAnsiTheme="minorHAnsi" w:cstheme="minorHAnsi"/>
          <w:bCs/>
          <w:color w:val="000000" w:themeColor="text1"/>
          <w:sz w:val="20"/>
          <w:szCs w:val="20"/>
          <w:lang w:val="en-US"/>
        </w:rPr>
        <w:t xml:space="preserve">in the period to £28.1m </w:t>
      </w:r>
      <w:r w:rsidR="00F64E0D">
        <w:rPr>
          <w:rFonts w:asciiTheme="minorHAnsi" w:hAnsiTheme="minorHAnsi" w:cstheme="minorHAnsi"/>
          <w:bCs/>
          <w:color w:val="000000" w:themeColor="text1"/>
          <w:sz w:val="20"/>
          <w:szCs w:val="20"/>
          <w:lang w:val="en-US"/>
        </w:rPr>
        <w:t>(H1 2022:</w:t>
      </w:r>
      <w:r w:rsidRPr="006D26BB">
        <w:rPr>
          <w:rFonts w:asciiTheme="minorHAnsi" w:hAnsiTheme="minorHAnsi" w:cstheme="minorHAnsi"/>
          <w:bCs/>
          <w:color w:val="000000" w:themeColor="text1"/>
          <w:sz w:val="20"/>
          <w:szCs w:val="20"/>
          <w:lang w:val="en-US"/>
        </w:rPr>
        <w:t xml:space="preserve"> £31.8m</w:t>
      </w:r>
      <w:r w:rsidR="00F64E0D">
        <w:rPr>
          <w:rFonts w:asciiTheme="minorHAnsi" w:hAnsiTheme="minorHAnsi" w:cstheme="minorHAnsi"/>
          <w:bCs/>
          <w:color w:val="000000" w:themeColor="text1"/>
          <w:sz w:val="20"/>
          <w:szCs w:val="20"/>
          <w:lang w:val="en-US"/>
        </w:rPr>
        <w:t>)</w:t>
      </w:r>
      <w:r w:rsidRPr="006D26BB">
        <w:rPr>
          <w:rFonts w:asciiTheme="minorHAnsi" w:hAnsiTheme="minorHAnsi" w:cstheme="minorHAnsi"/>
          <w:bCs/>
          <w:color w:val="000000" w:themeColor="text1"/>
          <w:sz w:val="20"/>
          <w:szCs w:val="20"/>
          <w:lang w:val="en-US"/>
        </w:rPr>
        <w:t xml:space="preserve">. </w:t>
      </w:r>
      <w:r w:rsidR="00A01890" w:rsidRPr="006D26BB">
        <w:rPr>
          <w:rFonts w:asciiTheme="minorHAnsi" w:hAnsiTheme="minorHAnsi" w:cstheme="minorHAnsi"/>
          <w:bCs/>
          <w:color w:val="000000" w:themeColor="text1"/>
          <w:sz w:val="20"/>
          <w:szCs w:val="20"/>
          <w:lang w:val="en-US"/>
        </w:rPr>
        <w:t>Our supermarket customers have been more cautious in their forward ordering during the cost-of-living crisis as consumers have allocated a greater proportion of their basket spend on food</w:t>
      </w:r>
      <w:r w:rsidR="0017327B">
        <w:rPr>
          <w:rFonts w:asciiTheme="minorHAnsi" w:hAnsiTheme="minorHAnsi" w:cstheme="minorHAnsi"/>
          <w:bCs/>
          <w:color w:val="000000" w:themeColor="text1"/>
          <w:sz w:val="20"/>
          <w:szCs w:val="20"/>
          <w:lang w:val="en-US"/>
        </w:rPr>
        <w:t xml:space="preserve"> which has seen significant price inflation</w:t>
      </w:r>
      <w:r w:rsidR="00A01890" w:rsidRPr="006D26BB">
        <w:rPr>
          <w:rFonts w:asciiTheme="minorHAnsi" w:hAnsiTheme="minorHAnsi" w:cstheme="minorHAnsi"/>
          <w:bCs/>
          <w:color w:val="000000" w:themeColor="text1"/>
          <w:sz w:val="20"/>
          <w:szCs w:val="20"/>
          <w:lang w:val="en-US"/>
        </w:rPr>
        <w:t xml:space="preserve">, rather than general merchandise. </w:t>
      </w:r>
      <w:r w:rsidR="00E713D8">
        <w:rPr>
          <w:rFonts w:asciiTheme="minorHAnsi" w:hAnsiTheme="minorHAnsi" w:cstheme="minorHAnsi"/>
          <w:bCs/>
          <w:color w:val="000000" w:themeColor="text1"/>
          <w:sz w:val="20"/>
          <w:szCs w:val="20"/>
          <w:lang w:val="en-US"/>
        </w:rPr>
        <w:t xml:space="preserve">Many supermarkets were also overstocked, a trend </w:t>
      </w:r>
      <w:r w:rsidR="004A3E79">
        <w:rPr>
          <w:rFonts w:asciiTheme="minorHAnsi" w:hAnsiTheme="minorHAnsi" w:cstheme="minorHAnsi"/>
          <w:bCs/>
          <w:color w:val="000000" w:themeColor="text1"/>
          <w:sz w:val="20"/>
          <w:szCs w:val="20"/>
          <w:lang w:val="en-US"/>
        </w:rPr>
        <w:t>that</w:t>
      </w:r>
      <w:r w:rsidR="00E713D8">
        <w:rPr>
          <w:rFonts w:asciiTheme="minorHAnsi" w:hAnsiTheme="minorHAnsi" w:cstheme="minorHAnsi"/>
          <w:bCs/>
          <w:color w:val="000000" w:themeColor="text1"/>
          <w:sz w:val="20"/>
          <w:szCs w:val="20"/>
          <w:lang w:val="en-US"/>
        </w:rPr>
        <w:t xml:space="preserve"> occurred following the COVID-19 </w:t>
      </w:r>
      <w:r w:rsidR="004A3E79">
        <w:rPr>
          <w:rFonts w:asciiTheme="minorHAnsi" w:hAnsiTheme="minorHAnsi" w:cstheme="minorHAnsi"/>
          <w:bCs/>
          <w:color w:val="000000" w:themeColor="text1"/>
          <w:sz w:val="20"/>
          <w:szCs w:val="20"/>
          <w:lang w:val="en-US"/>
        </w:rPr>
        <w:t xml:space="preserve">pandemic </w:t>
      </w:r>
      <w:r w:rsidR="00E713D8">
        <w:rPr>
          <w:rFonts w:asciiTheme="minorHAnsi" w:hAnsiTheme="minorHAnsi" w:cstheme="minorHAnsi"/>
          <w:bCs/>
          <w:color w:val="000000" w:themeColor="text1"/>
          <w:sz w:val="20"/>
          <w:szCs w:val="20"/>
          <w:lang w:val="en-US"/>
        </w:rPr>
        <w:t xml:space="preserve">and </w:t>
      </w:r>
      <w:r w:rsidR="004A3E79">
        <w:rPr>
          <w:rFonts w:asciiTheme="minorHAnsi" w:hAnsiTheme="minorHAnsi" w:cstheme="minorHAnsi"/>
          <w:bCs/>
          <w:color w:val="000000" w:themeColor="text1"/>
          <w:sz w:val="20"/>
          <w:szCs w:val="20"/>
          <w:lang w:val="en-US"/>
        </w:rPr>
        <w:t xml:space="preserve">which </w:t>
      </w:r>
      <w:r w:rsidR="00E713D8">
        <w:rPr>
          <w:rFonts w:asciiTheme="minorHAnsi" w:hAnsiTheme="minorHAnsi" w:cstheme="minorHAnsi"/>
          <w:bCs/>
          <w:color w:val="000000" w:themeColor="text1"/>
          <w:sz w:val="20"/>
          <w:szCs w:val="20"/>
          <w:lang w:val="en-US"/>
        </w:rPr>
        <w:t>is now showing signs of subsiding.</w:t>
      </w:r>
    </w:p>
    <w:p w14:paraId="465EA13D" w14:textId="5C4CAA4E" w:rsidR="00A01890" w:rsidRDefault="00A01890" w:rsidP="00243A3F">
      <w:pPr>
        <w:spacing w:after="0" w:line="240" w:lineRule="auto"/>
        <w:jc w:val="both"/>
        <w:rPr>
          <w:rFonts w:asciiTheme="minorHAnsi" w:hAnsiTheme="minorHAnsi" w:cstheme="minorHAnsi"/>
          <w:bCs/>
          <w:color w:val="000000" w:themeColor="text1"/>
          <w:sz w:val="20"/>
          <w:szCs w:val="20"/>
          <w:highlight w:val="yellow"/>
          <w:lang w:val="en-US"/>
        </w:rPr>
      </w:pPr>
    </w:p>
    <w:p w14:paraId="03E132EB" w14:textId="7AE0A989" w:rsidR="00243A3F" w:rsidRPr="006D26BB" w:rsidRDefault="00243A3F" w:rsidP="00243A3F">
      <w:pPr>
        <w:spacing w:after="0" w:line="240" w:lineRule="auto"/>
        <w:jc w:val="both"/>
        <w:rPr>
          <w:rFonts w:asciiTheme="minorHAnsi" w:hAnsiTheme="minorHAnsi" w:cstheme="minorHAnsi"/>
          <w:b/>
          <w:bCs/>
          <w:i/>
          <w:iCs/>
          <w:color w:val="000000" w:themeColor="text1"/>
          <w:sz w:val="20"/>
          <w:szCs w:val="20"/>
        </w:rPr>
      </w:pPr>
      <w:r w:rsidRPr="006D26BB">
        <w:rPr>
          <w:rFonts w:asciiTheme="minorHAnsi" w:hAnsiTheme="minorHAnsi" w:cstheme="minorHAnsi"/>
          <w:b/>
          <w:bCs/>
          <w:i/>
          <w:iCs/>
          <w:color w:val="000000" w:themeColor="text1"/>
          <w:sz w:val="20"/>
          <w:szCs w:val="20"/>
        </w:rPr>
        <w:t>Online Platforms</w:t>
      </w:r>
    </w:p>
    <w:p w14:paraId="034DB6D3" w14:textId="55733824" w:rsidR="009674AE" w:rsidRPr="002340A1" w:rsidRDefault="003C3E7D" w:rsidP="009674AE">
      <w:pPr>
        <w:spacing w:after="0" w:line="240" w:lineRule="auto"/>
        <w:jc w:val="both"/>
        <w:rPr>
          <w:rFonts w:asciiTheme="minorHAnsi" w:hAnsiTheme="minorHAnsi" w:cstheme="minorHAnsi"/>
          <w:bCs/>
          <w:sz w:val="20"/>
          <w:szCs w:val="20"/>
          <w:lang w:val="en-US"/>
        </w:rPr>
      </w:pPr>
      <w:r w:rsidRPr="002340A1">
        <w:rPr>
          <w:rFonts w:asciiTheme="minorHAnsi" w:hAnsiTheme="minorHAnsi" w:cstheme="minorHAnsi"/>
          <w:sz w:val="20"/>
          <w:szCs w:val="20"/>
        </w:rPr>
        <w:t>Online sales have grown rapidly in the period</w:t>
      </w:r>
      <w:r w:rsidR="00F64E0D" w:rsidRPr="002340A1">
        <w:rPr>
          <w:rFonts w:asciiTheme="minorHAnsi" w:hAnsiTheme="minorHAnsi" w:cstheme="minorHAnsi"/>
          <w:sz w:val="20"/>
          <w:szCs w:val="20"/>
        </w:rPr>
        <w:t>. Revenue grew</w:t>
      </w:r>
      <w:r w:rsidRPr="002340A1">
        <w:rPr>
          <w:rFonts w:asciiTheme="minorHAnsi" w:hAnsiTheme="minorHAnsi" w:cstheme="minorHAnsi"/>
          <w:sz w:val="20"/>
          <w:szCs w:val="20"/>
        </w:rPr>
        <w:t xml:space="preserve"> by 7</w:t>
      </w:r>
      <w:r w:rsidR="00140D62">
        <w:rPr>
          <w:rFonts w:asciiTheme="minorHAnsi" w:hAnsiTheme="minorHAnsi" w:cstheme="minorHAnsi"/>
          <w:sz w:val="20"/>
          <w:szCs w:val="20"/>
        </w:rPr>
        <w:t>8</w:t>
      </w:r>
      <w:r w:rsidRPr="002340A1">
        <w:rPr>
          <w:rFonts w:asciiTheme="minorHAnsi" w:hAnsiTheme="minorHAnsi" w:cstheme="minorHAnsi"/>
          <w:sz w:val="20"/>
          <w:szCs w:val="20"/>
        </w:rPr>
        <w:t xml:space="preserve">% to £22.9m (H1 2022: £12.8m). As previously </w:t>
      </w:r>
      <w:r w:rsidR="004B64D3" w:rsidRPr="002340A1">
        <w:rPr>
          <w:rFonts w:asciiTheme="minorHAnsi" w:hAnsiTheme="minorHAnsi" w:cstheme="minorHAnsi"/>
          <w:sz w:val="20"/>
          <w:szCs w:val="20"/>
        </w:rPr>
        <w:t>noted,</w:t>
      </w:r>
      <w:r w:rsidRPr="002340A1">
        <w:rPr>
          <w:rFonts w:asciiTheme="minorHAnsi" w:hAnsiTheme="minorHAnsi" w:cstheme="minorHAnsi"/>
          <w:sz w:val="20"/>
          <w:szCs w:val="20"/>
        </w:rPr>
        <w:t xml:space="preserve"> our online business was adversely affected in H1 2022</w:t>
      </w:r>
      <w:r w:rsidRPr="002340A1">
        <w:rPr>
          <w:rFonts w:asciiTheme="minorHAnsi" w:hAnsiTheme="minorHAnsi" w:cstheme="minorHAnsi"/>
          <w:sz w:val="20"/>
          <w:szCs w:val="20"/>
          <w:lang w:val="en-US"/>
        </w:rPr>
        <w:t xml:space="preserve"> by the tighter stock availability caused by the disruption to shipping</w:t>
      </w:r>
      <w:r w:rsidR="004B64D3" w:rsidRPr="002340A1">
        <w:rPr>
          <w:rFonts w:asciiTheme="minorHAnsi" w:hAnsiTheme="minorHAnsi" w:cstheme="minorHAnsi"/>
          <w:sz w:val="20"/>
          <w:szCs w:val="20"/>
          <w:lang w:val="en-US"/>
        </w:rPr>
        <w:t>,</w:t>
      </w:r>
      <w:r w:rsidRPr="002340A1">
        <w:rPr>
          <w:rFonts w:asciiTheme="minorHAnsi" w:hAnsiTheme="minorHAnsi" w:cstheme="minorHAnsi"/>
          <w:sz w:val="20"/>
          <w:szCs w:val="20"/>
          <w:lang w:val="en-US"/>
        </w:rPr>
        <w:t xml:space="preserve"> </w:t>
      </w:r>
      <w:r w:rsidR="004B64D3" w:rsidRPr="002340A1">
        <w:rPr>
          <w:rFonts w:asciiTheme="minorHAnsi" w:hAnsiTheme="minorHAnsi" w:cstheme="minorHAnsi"/>
          <w:sz w:val="20"/>
          <w:szCs w:val="20"/>
          <w:lang w:val="en-US"/>
        </w:rPr>
        <w:t xml:space="preserve">which </w:t>
      </w:r>
      <w:r w:rsidRPr="002340A1">
        <w:rPr>
          <w:rFonts w:asciiTheme="minorHAnsi" w:hAnsiTheme="minorHAnsi" w:cstheme="minorHAnsi"/>
          <w:sz w:val="20"/>
          <w:szCs w:val="20"/>
          <w:lang w:val="en-US"/>
        </w:rPr>
        <w:t>le</w:t>
      </w:r>
      <w:r w:rsidR="004B64D3" w:rsidRPr="002340A1">
        <w:rPr>
          <w:rFonts w:asciiTheme="minorHAnsi" w:hAnsiTheme="minorHAnsi" w:cstheme="minorHAnsi"/>
          <w:sz w:val="20"/>
          <w:szCs w:val="20"/>
          <w:lang w:val="en-US"/>
        </w:rPr>
        <w:t>d</w:t>
      </w:r>
      <w:r w:rsidRPr="002340A1">
        <w:rPr>
          <w:rFonts w:asciiTheme="minorHAnsi" w:hAnsiTheme="minorHAnsi" w:cstheme="minorHAnsi"/>
          <w:sz w:val="20"/>
          <w:szCs w:val="20"/>
          <w:lang w:val="en-US"/>
        </w:rPr>
        <w:t xml:space="preserve"> to a decline in revenue of 13%. This temporary </w:t>
      </w:r>
      <w:r w:rsidR="004B64D3" w:rsidRPr="002340A1">
        <w:rPr>
          <w:rFonts w:asciiTheme="minorHAnsi" w:hAnsiTheme="minorHAnsi" w:cstheme="minorHAnsi"/>
          <w:sz w:val="20"/>
          <w:szCs w:val="20"/>
          <w:lang w:val="en-US"/>
        </w:rPr>
        <w:t>setb</w:t>
      </w:r>
      <w:r w:rsidR="004B64D3" w:rsidRPr="002340A1">
        <w:rPr>
          <w:rFonts w:asciiTheme="minorHAnsi" w:hAnsiTheme="minorHAnsi" w:cstheme="minorHAnsi"/>
          <w:bCs/>
          <w:sz w:val="20"/>
          <w:szCs w:val="20"/>
          <w:lang w:val="en-US"/>
        </w:rPr>
        <w:t>ack</w:t>
      </w:r>
      <w:r w:rsidRPr="002340A1">
        <w:rPr>
          <w:rFonts w:asciiTheme="minorHAnsi" w:hAnsiTheme="minorHAnsi" w:cstheme="minorHAnsi"/>
          <w:bCs/>
          <w:sz w:val="20"/>
          <w:szCs w:val="20"/>
          <w:lang w:val="en-US"/>
        </w:rPr>
        <w:t xml:space="preserve"> was reversed when availability recovered. Strong online momentum, driven by consumer demand for </w:t>
      </w:r>
      <w:r w:rsidRPr="002340A1">
        <w:rPr>
          <w:rFonts w:asciiTheme="minorHAnsi" w:hAnsiTheme="minorHAnsi" w:cstheme="minorHAnsi"/>
          <w:sz w:val="20"/>
          <w:szCs w:val="20"/>
        </w:rPr>
        <w:t>energy</w:t>
      </w:r>
      <w:r w:rsidR="00846D0B">
        <w:rPr>
          <w:rFonts w:asciiTheme="minorHAnsi" w:hAnsiTheme="minorHAnsi" w:cstheme="minorHAnsi"/>
          <w:sz w:val="20"/>
          <w:szCs w:val="20"/>
        </w:rPr>
        <w:t>-</w:t>
      </w:r>
      <w:r w:rsidRPr="002340A1">
        <w:rPr>
          <w:rFonts w:asciiTheme="minorHAnsi" w:hAnsiTheme="minorHAnsi" w:cstheme="minorHAnsi"/>
          <w:sz w:val="20"/>
          <w:szCs w:val="20"/>
        </w:rPr>
        <w:t>efficient and money</w:t>
      </w:r>
      <w:r w:rsidR="00846D0B">
        <w:rPr>
          <w:rFonts w:asciiTheme="minorHAnsi" w:hAnsiTheme="minorHAnsi" w:cstheme="minorHAnsi"/>
          <w:sz w:val="20"/>
          <w:szCs w:val="20"/>
        </w:rPr>
        <w:t>-</w:t>
      </w:r>
      <w:r w:rsidRPr="002340A1">
        <w:rPr>
          <w:rFonts w:asciiTheme="minorHAnsi" w:hAnsiTheme="minorHAnsi" w:cstheme="minorHAnsi"/>
          <w:sz w:val="20"/>
          <w:szCs w:val="20"/>
        </w:rPr>
        <w:t>saving products</w:t>
      </w:r>
      <w:r w:rsidR="004B64D3">
        <w:rPr>
          <w:rFonts w:asciiTheme="minorHAnsi" w:hAnsiTheme="minorHAnsi" w:cstheme="minorHAnsi"/>
          <w:sz w:val="20"/>
          <w:szCs w:val="20"/>
        </w:rPr>
        <w:t>,</w:t>
      </w:r>
      <w:r w:rsidRPr="002340A1">
        <w:rPr>
          <w:rFonts w:asciiTheme="minorHAnsi" w:hAnsiTheme="minorHAnsi" w:cstheme="minorHAnsi"/>
          <w:sz w:val="20"/>
          <w:szCs w:val="20"/>
        </w:rPr>
        <w:t xml:space="preserve"> has seen our online channel make up 26% of revenue</w:t>
      </w:r>
      <w:r w:rsidR="004B64D3" w:rsidRPr="002340A1">
        <w:rPr>
          <w:rFonts w:asciiTheme="minorHAnsi" w:hAnsiTheme="minorHAnsi" w:cstheme="minorHAnsi"/>
          <w:sz w:val="20"/>
          <w:szCs w:val="20"/>
        </w:rPr>
        <w:t xml:space="preserve"> in the period</w:t>
      </w:r>
      <w:r w:rsidR="001D7411" w:rsidRPr="002340A1">
        <w:rPr>
          <w:rFonts w:asciiTheme="minorHAnsi" w:hAnsiTheme="minorHAnsi" w:cstheme="minorHAnsi"/>
          <w:sz w:val="20"/>
          <w:szCs w:val="20"/>
        </w:rPr>
        <w:t xml:space="preserve"> (H1 2022: 15%)</w:t>
      </w:r>
      <w:r w:rsidR="004B64D3" w:rsidRPr="002340A1">
        <w:rPr>
          <w:rFonts w:asciiTheme="minorHAnsi" w:hAnsiTheme="minorHAnsi" w:cstheme="minorHAnsi"/>
          <w:sz w:val="20"/>
          <w:szCs w:val="20"/>
        </w:rPr>
        <w:t xml:space="preserve">. This </w:t>
      </w:r>
      <w:r w:rsidR="004B64D3" w:rsidRPr="004B64D3">
        <w:rPr>
          <w:rFonts w:asciiTheme="minorHAnsi" w:hAnsiTheme="minorHAnsi" w:cstheme="minorHAnsi"/>
          <w:sz w:val="20"/>
          <w:szCs w:val="20"/>
        </w:rPr>
        <w:t>represents</w:t>
      </w:r>
      <w:r w:rsidRPr="002340A1">
        <w:rPr>
          <w:rFonts w:asciiTheme="minorHAnsi" w:hAnsiTheme="minorHAnsi" w:cstheme="minorHAnsi"/>
          <w:sz w:val="20"/>
          <w:szCs w:val="20"/>
        </w:rPr>
        <w:t xml:space="preserve"> a significant step towards ou</w:t>
      </w:r>
      <w:r w:rsidR="004B64D3">
        <w:rPr>
          <w:rFonts w:asciiTheme="minorHAnsi" w:hAnsiTheme="minorHAnsi" w:cstheme="minorHAnsi"/>
          <w:sz w:val="20"/>
          <w:szCs w:val="20"/>
        </w:rPr>
        <w:t>r</w:t>
      </w:r>
      <w:r w:rsidRPr="002340A1">
        <w:rPr>
          <w:rFonts w:asciiTheme="minorHAnsi" w:hAnsiTheme="minorHAnsi" w:cstheme="minorHAnsi"/>
          <w:sz w:val="20"/>
          <w:szCs w:val="20"/>
        </w:rPr>
        <w:t xml:space="preserve"> target of 30% of overall revenue </w:t>
      </w:r>
      <w:r w:rsidR="004B64D3">
        <w:rPr>
          <w:rFonts w:asciiTheme="minorHAnsi" w:hAnsiTheme="minorHAnsi" w:cstheme="minorHAnsi"/>
          <w:sz w:val="20"/>
          <w:szCs w:val="20"/>
        </w:rPr>
        <w:t>coming</w:t>
      </w:r>
      <w:r w:rsidRPr="002340A1">
        <w:rPr>
          <w:rFonts w:asciiTheme="minorHAnsi" w:hAnsiTheme="minorHAnsi" w:cstheme="minorHAnsi"/>
          <w:sz w:val="20"/>
          <w:szCs w:val="20"/>
        </w:rPr>
        <w:t xml:space="preserve"> from online over the medium term. </w:t>
      </w:r>
      <w:r w:rsidR="009674AE" w:rsidRPr="002340A1">
        <w:rPr>
          <w:rFonts w:asciiTheme="minorHAnsi" w:hAnsiTheme="minorHAnsi" w:cstheme="minorHAnsi"/>
          <w:bCs/>
          <w:sz w:val="20"/>
          <w:szCs w:val="20"/>
          <w:lang w:val="en-US"/>
        </w:rPr>
        <w:t xml:space="preserve">While </w:t>
      </w:r>
      <w:r w:rsidR="004B64D3" w:rsidRPr="004B64D3">
        <w:rPr>
          <w:rFonts w:asciiTheme="minorHAnsi" w:hAnsiTheme="minorHAnsi" w:cstheme="minorHAnsi"/>
          <w:bCs/>
          <w:sz w:val="20"/>
          <w:szCs w:val="20"/>
          <w:lang w:val="en-US"/>
        </w:rPr>
        <w:t>most of</w:t>
      </w:r>
      <w:r w:rsidR="009674AE" w:rsidRPr="002340A1">
        <w:rPr>
          <w:rFonts w:asciiTheme="minorHAnsi" w:hAnsiTheme="minorHAnsi" w:cstheme="minorHAnsi"/>
          <w:bCs/>
          <w:sz w:val="20"/>
          <w:szCs w:val="20"/>
          <w:lang w:val="en-US"/>
        </w:rPr>
        <w:t xml:space="preserve"> our online revenue will always come from </w:t>
      </w:r>
      <w:r w:rsidR="004B64D3">
        <w:rPr>
          <w:rFonts w:asciiTheme="minorHAnsi" w:hAnsiTheme="minorHAnsi" w:cstheme="minorHAnsi"/>
          <w:bCs/>
          <w:sz w:val="20"/>
          <w:szCs w:val="20"/>
          <w:lang w:val="en-US"/>
        </w:rPr>
        <w:t>transactions</w:t>
      </w:r>
      <w:r w:rsidR="004B64D3" w:rsidRPr="002340A1">
        <w:rPr>
          <w:rFonts w:asciiTheme="minorHAnsi" w:hAnsiTheme="minorHAnsi" w:cstheme="minorHAnsi"/>
          <w:bCs/>
          <w:sz w:val="20"/>
          <w:szCs w:val="20"/>
          <w:lang w:val="en-US"/>
        </w:rPr>
        <w:t xml:space="preserve"> </w:t>
      </w:r>
      <w:r w:rsidR="009674AE" w:rsidRPr="002340A1">
        <w:rPr>
          <w:rFonts w:asciiTheme="minorHAnsi" w:hAnsiTheme="minorHAnsi" w:cstheme="minorHAnsi"/>
          <w:bCs/>
          <w:sz w:val="20"/>
          <w:szCs w:val="20"/>
          <w:lang w:val="en-US"/>
        </w:rPr>
        <w:t xml:space="preserve">made through </w:t>
      </w:r>
      <w:r w:rsidR="004B64D3">
        <w:rPr>
          <w:rFonts w:asciiTheme="minorHAnsi" w:hAnsiTheme="minorHAnsi" w:cstheme="minorHAnsi"/>
          <w:bCs/>
          <w:sz w:val="20"/>
          <w:szCs w:val="20"/>
          <w:lang w:val="en-US"/>
        </w:rPr>
        <w:t xml:space="preserve">third party </w:t>
      </w:r>
      <w:r w:rsidR="009674AE" w:rsidRPr="002340A1">
        <w:rPr>
          <w:rFonts w:asciiTheme="minorHAnsi" w:hAnsiTheme="minorHAnsi" w:cstheme="minorHAnsi"/>
          <w:bCs/>
          <w:sz w:val="20"/>
          <w:szCs w:val="20"/>
          <w:lang w:val="en-US"/>
        </w:rPr>
        <w:t>platforms</w:t>
      </w:r>
      <w:r w:rsidR="004B64D3">
        <w:rPr>
          <w:rFonts w:asciiTheme="minorHAnsi" w:hAnsiTheme="minorHAnsi" w:cstheme="minorHAnsi"/>
          <w:bCs/>
          <w:sz w:val="20"/>
          <w:szCs w:val="20"/>
          <w:lang w:val="en-US"/>
        </w:rPr>
        <w:t xml:space="preserve"> such as Amazon</w:t>
      </w:r>
      <w:r w:rsidR="009674AE" w:rsidRPr="002340A1">
        <w:rPr>
          <w:rFonts w:asciiTheme="minorHAnsi" w:hAnsiTheme="minorHAnsi" w:cstheme="minorHAnsi"/>
          <w:bCs/>
          <w:sz w:val="20"/>
          <w:szCs w:val="20"/>
          <w:lang w:val="en-US"/>
        </w:rPr>
        <w:t>, our Salter</w:t>
      </w:r>
      <w:r w:rsidR="004B64D3">
        <w:rPr>
          <w:rFonts w:asciiTheme="minorHAnsi" w:hAnsiTheme="minorHAnsi" w:cstheme="minorHAnsi"/>
          <w:bCs/>
          <w:sz w:val="20"/>
          <w:szCs w:val="20"/>
          <w:lang w:val="en-US"/>
        </w:rPr>
        <w:t>.com</w:t>
      </w:r>
      <w:r w:rsidR="009674AE" w:rsidRPr="002340A1">
        <w:rPr>
          <w:rFonts w:asciiTheme="minorHAnsi" w:hAnsiTheme="minorHAnsi" w:cstheme="minorHAnsi"/>
          <w:bCs/>
          <w:sz w:val="20"/>
          <w:szCs w:val="20"/>
          <w:lang w:val="en-US"/>
        </w:rPr>
        <w:t xml:space="preserve"> and Beldray</w:t>
      </w:r>
      <w:r w:rsidR="004B64D3">
        <w:rPr>
          <w:rFonts w:asciiTheme="minorHAnsi" w:hAnsiTheme="minorHAnsi" w:cstheme="minorHAnsi"/>
          <w:bCs/>
          <w:sz w:val="20"/>
          <w:szCs w:val="20"/>
          <w:lang w:val="en-US"/>
        </w:rPr>
        <w:t>.com</w:t>
      </w:r>
      <w:r w:rsidR="009674AE" w:rsidRPr="002340A1">
        <w:rPr>
          <w:rFonts w:asciiTheme="minorHAnsi" w:hAnsiTheme="minorHAnsi" w:cstheme="minorHAnsi"/>
          <w:bCs/>
          <w:sz w:val="20"/>
          <w:szCs w:val="20"/>
          <w:lang w:val="en-US"/>
        </w:rPr>
        <w:t xml:space="preserve"> </w:t>
      </w:r>
      <w:r w:rsidR="004B64D3" w:rsidRPr="004B64D3">
        <w:rPr>
          <w:rFonts w:asciiTheme="minorHAnsi" w:hAnsiTheme="minorHAnsi" w:cstheme="minorHAnsi"/>
          <w:bCs/>
          <w:sz w:val="20"/>
          <w:szCs w:val="20"/>
          <w:lang w:val="en-US"/>
        </w:rPr>
        <w:t>websites</w:t>
      </w:r>
      <w:r w:rsidR="009674AE" w:rsidRPr="002340A1">
        <w:rPr>
          <w:rFonts w:asciiTheme="minorHAnsi" w:hAnsiTheme="minorHAnsi" w:cstheme="minorHAnsi"/>
          <w:bCs/>
          <w:sz w:val="20"/>
          <w:szCs w:val="20"/>
          <w:lang w:val="en-US"/>
        </w:rPr>
        <w:t xml:space="preserve"> contributed a respectable £0.8m of revenue during the period. In addition to providing an additional avenue </w:t>
      </w:r>
      <w:r w:rsidR="004B64D3" w:rsidRPr="004B64D3">
        <w:rPr>
          <w:rFonts w:asciiTheme="minorHAnsi" w:hAnsiTheme="minorHAnsi" w:cstheme="minorHAnsi"/>
          <w:bCs/>
          <w:sz w:val="20"/>
          <w:szCs w:val="20"/>
          <w:lang w:val="en-US"/>
        </w:rPr>
        <w:t>for growth</w:t>
      </w:r>
      <w:r w:rsidR="009674AE" w:rsidRPr="002340A1">
        <w:rPr>
          <w:rFonts w:asciiTheme="minorHAnsi" w:hAnsiTheme="minorHAnsi" w:cstheme="minorHAnsi"/>
          <w:bCs/>
          <w:sz w:val="20"/>
          <w:szCs w:val="20"/>
          <w:lang w:val="en-US"/>
        </w:rPr>
        <w:t xml:space="preserve">, our websites help to facilitate a more direct relationship between our brands and their consumers, giving us more direct insights into their </w:t>
      </w:r>
      <w:r w:rsidR="009674AE" w:rsidRPr="002340A1">
        <w:rPr>
          <w:rFonts w:asciiTheme="minorHAnsi" w:hAnsiTheme="minorHAnsi" w:cstheme="minorHAnsi"/>
          <w:bCs/>
          <w:sz w:val="20"/>
          <w:szCs w:val="20"/>
        </w:rPr>
        <w:t>behaviour</w:t>
      </w:r>
      <w:r w:rsidR="009674AE" w:rsidRPr="002340A1">
        <w:rPr>
          <w:rFonts w:asciiTheme="minorHAnsi" w:hAnsiTheme="minorHAnsi" w:cstheme="minorHAnsi"/>
          <w:bCs/>
          <w:sz w:val="20"/>
          <w:szCs w:val="20"/>
          <w:lang w:val="en-US"/>
        </w:rPr>
        <w:t xml:space="preserve">. </w:t>
      </w:r>
    </w:p>
    <w:p w14:paraId="3FEE16FC" w14:textId="77777777" w:rsidR="009674AE" w:rsidRPr="006D26BB" w:rsidRDefault="009674AE" w:rsidP="00243A3F">
      <w:pPr>
        <w:spacing w:after="0" w:line="240" w:lineRule="auto"/>
        <w:jc w:val="both"/>
        <w:rPr>
          <w:rFonts w:asciiTheme="minorHAnsi" w:hAnsiTheme="minorHAnsi" w:cstheme="minorHAnsi"/>
          <w:bCs/>
          <w:color w:val="000000" w:themeColor="text1"/>
          <w:sz w:val="20"/>
          <w:szCs w:val="20"/>
          <w:highlight w:val="yellow"/>
          <w:lang w:val="en-US"/>
        </w:rPr>
      </w:pPr>
    </w:p>
    <w:p w14:paraId="3E72CA5C" w14:textId="4FBFB3FD" w:rsidR="00243A3F" w:rsidRPr="002340A1" w:rsidRDefault="00243A3F" w:rsidP="00243A3F">
      <w:pPr>
        <w:spacing w:after="0" w:line="240" w:lineRule="auto"/>
        <w:jc w:val="both"/>
        <w:rPr>
          <w:rFonts w:asciiTheme="minorHAnsi" w:hAnsiTheme="minorHAnsi" w:cstheme="minorHAnsi"/>
          <w:b/>
          <w:bCs/>
          <w:i/>
          <w:iCs/>
          <w:sz w:val="20"/>
          <w:szCs w:val="20"/>
        </w:rPr>
      </w:pPr>
      <w:r w:rsidRPr="002340A1">
        <w:rPr>
          <w:rFonts w:asciiTheme="minorHAnsi" w:hAnsiTheme="minorHAnsi" w:cstheme="minorHAnsi"/>
          <w:b/>
          <w:bCs/>
          <w:i/>
          <w:iCs/>
          <w:sz w:val="20"/>
          <w:szCs w:val="20"/>
        </w:rPr>
        <w:t>Discounters</w:t>
      </w:r>
    </w:p>
    <w:p w14:paraId="0868DBC3" w14:textId="170D9177" w:rsidR="00B209EF" w:rsidRPr="002340A1" w:rsidRDefault="00B209EF" w:rsidP="00243A3F">
      <w:pPr>
        <w:spacing w:after="0" w:line="240" w:lineRule="auto"/>
        <w:jc w:val="both"/>
        <w:rPr>
          <w:rFonts w:asciiTheme="minorHAnsi" w:hAnsiTheme="minorHAnsi" w:cstheme="minorHAnsi"/>
          <w:sz w:val="20"/>
          <w:szCs w:val="20"/>
        </w:rPr>
      </w:pPr>
      <w:r w:rsidRPr="002340A1">
        <w:rPr>
          <w:rFonts w:asciiTheme="minorHAnsi" w:hAnsiTheme="minorHAnsi" w:cstheme="minorHAnsi"/>
          <w:sz w:val="20"/>
          <w:szCs w:val="20"/>
        </w:rPr>
        <w:t xml:space="preserve">Sales to discounters fell by 16% to £21.1m (H1 2022: £25.1m). The performance of this channel has </w:t>
      </w:r>
      <w:r w:rsidR="00695717" w:rsidRPr="00695717">
        <w:rPr>
          <w:rFonts w:asciiTheme="minorHAnsi" w:hAnsiTheme="minorHAnsi" w:cstheme="minorHAnsi"/>
          <w:sz w:val="20"/>
          <w:szCs w:val="20"/>
        </w:rPr>
        <w:t>been driven by</w:t>
      </w:r>
      <w:r w:rsidRPr="002340A1">
        <w:rPr>
          <w:rFonts w:asciiTheme="minorHAnsi" w:hAnsiTheme="minorHAnsi" w:cstheme="minorHAnsi"/>
          <w:sz w:val="20"/>
          <w:szCs w:val="20"/>
        </w:rPr>
        <w:t xml:space="preserve"> general post-COVID overstocking, which caused some discounters to moderate their ordering as they </w:t>
      </w:r>
      <w:r w:rsidR="004A3E79">
        <w:rPr>
          <w:rFonts w:asciiTheme="minorHAnsi" w:hAnsiTheme="minorHAnsi" w:cstheme="minorHAnsi"/>
          <w:sz w:val="20"/>
          <w:szCs w:val="20"/>
        </w:rPr>
        <w:t>attempted to</w:t>
      </w:r>
      <w:r w:rsidR="004A3E79" w:rsidRPr="002340A1">
        <w:rPr>
          <w:rFonts w:asciiTheme="minorHAnsi" w:hAnsiTheme="minorHAnsi" w:cstheme="minorHAnsi"/>
          <w:sz w:val="20"/>
          <w:szCs w:val="20"/>
        </w:rPr>
        <w:t xml:space="preserve"> </w:t>
      </w:r>
      <w:r w:rsidRPr="002340A1">
        <w:rPr>
          <w:rFonts w:asciiTheme="minorHAnsi" w:hAnsiTheme="minorHAnsi" w:cstheme="minorHAnsi"/>
          <w:sz w:val="20"/>
          <w:szCs w:val="20"/>
        </w:rPr>
        <w:t>clear down their stocks. In the UK</w:t>
      </w:r>
      <w:r w:rsidR="00695717" w:rsidRPr="00695717">
        <w:rPr>
          <w:rFonts w:asciiTheme="minorHAnsi" w:hAnsiTheme="minorHAnsi" w:cstheme="minorHAnsi"/>
          <w:sz w:val="20"/>
          <w:szCs w:val="20"/>
        </w:rPr>
        <w:t>,</w:t>
      </w:r>
      <w:r w:rsidRPr="002340A1">
        <w:rPr>
          <w:rFonts w:asciiTheme="minorHAnsi" w:hAnsiTheme="minorHAnsi" w:cstheme="minorHAnsi"/>
          <w:sz w:val="20"/>
          <w:szCs w:val="20"/>
        </w:rPr>
        <w:t xml:space="preserve"> the situation has begun to </w:t>
      </w:r>
      <w:r w:rsidR="00234243" w:rsidRPr="002340A1">
        <w:rPr>
          <w:rFonts w:asciiTheme="minorHAnsi" w:hAnsiTheme="minorHAnsi" w:cstheme="minorHAnsi"/>
          <w:sz w:val="20"/>
          <w:szCs w:val="20"/>
        </w:rPr>
        <w:t>correct</w:t>
      </w:r>
      <w:r w:rsidRPr="002340A1">
        <w:rPr>
          <w:rFonts w:asciiTheme="minorHAnsi" w:hAnsiTheme="minorHAnsi" w:cstheme="minorHAnsi"/>
          <w:sz w:val="20"/>
          <w:szCs w:val="20"/>
        </w:rPr>
        <w:t xml:space="preserve">, and more normal patterns of order placing </w:t>
      </w:r>
      <w:r w:rsidRPr="002340A1">
        <w:rPr>
          <w:rFonts w:asciiTheme="minorHAnsi" w:hAnsiTheme="minorHAnsi" w:cstheme="minorHAnsi"/>
          <w:sz w:val="20"/>
          <w:szCs w:val="20"/>
          <w:lang w:val="en-US"/>
        </w:rPr>
        <w:t>have</w:t>
      </w:r>
      <w:r w:rsidRPr="002340A1">
        <w:rPr>
          <w:rFonts w:asciiTheme="minorHAnsi" w:hAnsiTheme="minorHAnsi" w:cstheme="minorHAnsi"/>
          <w:sz w:val="20"/>
          <w:szCs w:val="20"/>
        </w:rPr>
        <w:t xml:space="preserve"> </w:t>
      </w:r>
      <w:r w:rsidR="004A3E79">
        <w:rPr>
          <w:rFonts w:asciiTheme="minorHAnsi" w:hAnsiTheme="minorHAnsi" w:cstheme="minorHAnsi"/>
          <w:sz w:val="20"/>
          <w:szCs w:val="20"/>
        </w:rPr>
        <w:t xml:space="preserve">now </w:t>
      </w:r>
      <w:r w:rsidRPr="002340A1">
        <w:rPr>
          <w:rFonts w:asciiTheme="minorHAnsi" w:hAnsiTheme="minorHAnsi" w:cstheme="minorHAnsi"/>
          <w:sz w:val="20"/>
          <w:szCs w:val="20"/>
        </w:rPr>
        <w:t xml:space="preserve">recommenced. As the </w:t>
      </w:r>
      <w:r w:rsidR="00E713D8" w:rsidRPr="00E713D8">
        <w:rPr>
          <w:rFonts w:asciiTheme="minorHAnsi" w:hAnsiTheme="minorHAnsi" w:cstheme="minorHAnsi"/>
          <w:sz w:val="20"/>
          <w:szCs w:val="20"/>
        </w:rPr>
        <w:t>cost-of-living</w:t>
      </w:r>
      <w:r w:rsidRPr="002340A1">
        <w:rPr>
          <w:rFonts w:asciiTheme="minorHAnsi" w:hAnsiTheme="minorHAnsi" w:cstheme="minorHAnsi"/>
          <w:sz w:val="20"/>
          <w:szCs w:val="20"/>
        </w:rPr>
        <w:t xml:space="preserve"> crisis continues to affect consumers, we ex</w:t>
      </w:r>
      <w:r w:rsidR="00234243" w:rsidRPr="002340A1">
        <w:rPr>
          <w:rFonts w:asciiTheme="minorHAnsi" w:hAnsiTheme="minorHAnsi" w:cstheme="minorHAnsi"/>
          <w:sz w:val="20"/>
          <w:szCs w:val="20"/>
        </w:rPr>
        <w:t>p</w:t>
      </w:r>
      <w:r w:rsidRPr="002340A1">
        <w:rPr>
          <w:rFonts w:asciiTheme="minorHAnsi" w:hAnsiTheme="minorHAnsi" w:cstheme="minorHAnsi"/>
          <w:sz w:val="20"/>
          <w:szCs w:val="20"/>
        </w:rPr>
        <w:t xml:space="preserve">ect that there will be </w:t>
      </w:r>
      <w:r w:rsidR="00695717">
        <w:rPr>
          <w:rFonts w:asciiTheme="minorHAnsi" w:hAnsiTheme="minorHAnsi" w:cstheme="minorHAnsi"/>
          <w:sz w:val="20"/>
          <w:szCs w:val="20"/>
        </w:rPr>
        <w:t xml:space="preserve">increased </w:t>
      </w:r>
      <w:r w:rsidRPr="002340A1">
        <w:rPr>
          <w:rFonts w:asciiTheme="minorHAnsi" w:hAnsiTheme="minorHAnsi" w:cstheme="minorHAnsi"/>
          <w:sz w:val="20"/>
          <w:szCs w:val="20"/>
        </w:rPr>
        <w:t>opportunities with discounters.</w:t>
      </w:r>
    </w:p>
    <w:p w14:paraId="3948B089" w14:textId="77777777" w:rsidR="00B209EF" w:rsidRPr="002340A1" w:rsidRDefault="00B209EF" w:rsidP="00243A3F">
      <w:pPr>
        <w:spacing w:after="0" w:line="240" w:lineRule="auto"/>
        <w:jc w:val="both"/>
        <w:rPr>
          <w:rFonts w:asciiTheme="minorHAnsi" w:hAnsiTheme="minorHAnsi" w:cstheme="minorHAnsi"/>
          <w:b/>
          <w:bCs/>
          <w:i/>
          <w:iCs/>
          <w:sz w:val="20"/>
          <w:szCs w:val="20"/>
          <w:highlight w:val="yellow"/>
        </w:rPr>
      </w:pPr>
    </w:p>
    <w:p w14:paraId="6C1CA7D8" w14:textId="77777777" w:rsidR="00243A3F" w:rsidRPr="002340A1" w:rsidRDefault="00243A3F" w:rsidP="00243A3F">
      <w:pPr>
        <w:spacing w:after="0" w:line="240" w:lineRule="auto"/>
        <w:jc w:val="both"/>
        <w:rPr>
          <w:rFonts w:asciiTheme="minorHAnsi" w:hAnsiTheme="minorHAnsi" w:cstheme="minorHAnsi"/>
          <w:b/>
          <w:bCs/>
          <w:sz w:val="20"/>
          <w:szCs w:val="20"/>
        </w:rPr>
      </w:pPr>
      <w:r w:rsidRPr="002340A1">
        <w:rPr>
          <w:rFonts w:asciiTheme="minorHAnsi" w:hAnsiTheme="minorHAnsi" w:cstheme="minorHAnsi"/>
          <w:b/>
          <w:bCs/>
          <w:sz w:val="20"/>
          <w:szCs w:val="20"/>
        </w:rPr>
        <w:t>Operating Margins</w:t>
      </w:r>
    </w:p>
    <w:p w14:paraId="23C424D6" w14:textId="20C3E3DF" w:rsidR="00CA1244" w:rsidRPr="002340A1" w:rsidRDefault="00243A3F" w:rsidP="00CA1244">
      <w:pPr>
        <w:spacing w:after="0" w:line="240" w:lineRule="auto"/>
        <w:jc w:val="both"/>
        <w:rPr>
          <w:rFonts w:asciiTheme="minorHAnsi" w:hAnsiTheme="minorHAnsi" w:cstheme="minorHAnsi"/>
          <w:bCs/>
          <w:sz w:val="20"/>
          <w:szCs w:val="20"/>
          <w:lang w:val="en-US"/>
        </w:rPr>
      </w:pPr>
      <w:r w:rsidRPr="002340A1">
        <w:rPr>
          <w:rFonts w:asciiTheme="minorHAnsi" w:hAnsiTheme="minorHAnsi" w:cstheme="minorHAnsi"/>
          <w:bCs/>
          <w:sz w:val="20"/>
          <w:szCs w:val="20"/>
          <w:lang w:val="en-US"/>
        </w:rPr>
        <w:t xml:space="preserve">Gross margin increased to </w:t>
      </w:r>
      <w:r w:rsidR="00CA1244" w:rsidRPr="002340A1">
        <w:rPr>
          <w:rFonts w:asciiTheme="minorHAnsi" w:hAnsiTheme="minorHAnsi" w:cstheme="minorHAnsi"/>
          <w:bCs/>
          <w:sz w:val="20"/>
          <w:szCs w:val="20"/>
          <w:lang w:val="en-US"/>
        </w:rPr>
        <w:t xml:space="preserve">24.7% </w:t>
      </w:r>
      <w:r w:rsidRPr="002340A1">
        <w:rPr>
          <w:rFonts w:asciiTheme="minorHAnsi" w:hAnsiTheme="minorHAnsi" w:cstheme="minorHAnsi"/>
          <w:bCs/>
          <w:sz w:val="20"/>
          <w:szCs w:val="20"/>
          <w:lang w:val="en-US"/>
        </w:rPr>
        <w:t>(</w:t>
      </w:r>
      <w:r w:rsidR="00CA1244" w:rsidRPr="002340A1">
        <w:rPr>
          <w:rFonts w:asciiTheme="minorHAnsi" w:hAnsiTheme="minorHAnsi" w:cstheme="minorHAnsi"/>
          <w:bCs/>
          <w:sz w:val="20"/>
          <w:szCs w:val="20"/>
          <w:lang w:val="en-US"/>
        </w:rPr>
        <w:t>H1 2022: 24.4</w:t>
      </w:r>
      <w:r w:rsidRPr="002340A1">
        <w:rPr>
          <w:rFonts w:asciiTheme="minorHAnsi" w:hAnsiTheme="minorHAnsi" w:cstheme="minorHAnsi"/>
          <w:bCs/>
          <w:sz w:val="20"/>
          <w:szCs w:val="20"/>
          <w:lang w:val="en-US"/>
        </w:rPr>
        <w:t xml:space="preserve">%) </w:t>
      </w:r>
      <w:r w:rsidR="00CA1244" w:rsidRPr="002340A1">
        <w:rPr>
          <w:rFonts w:asciiTheme="minorHAnsi" w:hAnsiTheme="minorHAnsi" w:cstheme="minorHAnsi"/>
          <w:bCs/>
          <w:sz w:val="20"/>
          <w:szCs w:val="20"/>
          <w:lang w:val="en-US"/>
        </w:rPr>
        <w:t xml:space="preserve">as </w:t>
      </w:r>
      <w:r w:rsidR="00695717">
        <w:rPr>
          <w:rFonts w:asciiTheme="minorHAnsi" w:hAnsiTheme="minorHAnsi" w:cstheme="minorHAnsi"/>
          <w:bCs/>
          <w:sz w:val="20"/>
          <w:szCs w:val="20"/>
          <w:lang w:val="en-US"/>
        </w:rPr>
        <w:t>our</w:t>
      </w:r>
      <w:r w:rsidR="00695717" w:rsidRPr="002340A1">
        <w:rPr>
          <w:rFonts w:asciiTheme="minorHAnsi" w:hAnsiTheme="minorHAnsi" w:cstheme="minorHAnsi"/>
          <w:bCs/>
          <w:sz w:val="20"/>
          <w:szCs w:val="20"/>
          <w:lang w:val="en-US"/>
        </w:rPr>
        <w:t xml:space="preserve"> </w:t>
      </w:r>
      <w:r w:rsidR="00CA1244" w:rsidRPr="002340A1">
        <w:rPr>
          <w:rFonts w:asciiTheme="minorHAnsi" w:hAnsiTheme="minorHAnsi" w:cstheme="minorHAnsi"/>
          <w:bCs/>
          <w:sz w:val="20"/>
          <w:szCs w:val="20"/>
          <w:lang w:val="en-US"/>
        </w:rPr>
        <w:t xml:space="preserve">sales growth </w:t>
      </w:r>
      <w:r w:rsidR="00695717">
        <w:rPr>
          <w:rFonts w:asciiTheme="minorHAnsi" w:hAnsiTheme="minorHAnsi" w:cstheme="minorHAnsi"/>
          <w:bCs/>
          <w:sz w:val="20"/>
          <w:szCs w:val="20"/>
          <w:lang w:val="en-US"/>
        </w:rPr>
        <w:t>was</w:t>
      </w:r>
      <w:r w:rsidR="00CA1244" w:rsidRPr="002340A1">
        <w:rPr>
          <w:rFonts w:asciiTheme="minorHAnsi" w:hAnsiTheme="minorHAnsi" w:cstheme="minorHAnsi"/>
          <w:bCs/>
          <w:sz w:val="20"/>
          <w:szCs w:val="20"/>
          <w:lang w:val="en-US"/>
        </w:rPr>
        <w:t xml:space="preserve"> driven by higher-margin online sales. At the end of the </w:t>
      </w:r>
      <w:r w:rsidR="004A3E79" w:rsidRPr="004A3E79">
        <w:rPr>
          <w:rFonts w:asciiTheme="minorHAnsi" w:hAnsiTheme="minorHAnsi" w:cstheme="minorHAnsi"/>
          <w:bCs/>
          <w:sz w:val="20"/>
          <w:szCs w:val="20"/>
          <w:lang w:val="en-US"/>
        </w:rPr>
        <w:t>period,</w:t>
      </w:r>
      <w:r w:rsidR="00CA1244" w:rsidRPr="002340A1">
        <w:rPr>
          <w:rFonts w:asciiTheme="minorHAnsi" w:hAnsiTheme="minorHAnsi" w:cstheme="minorHAnsi"/>
          <w:bCs/>
          <w:sz w:val="20"/>
          <w:szCs w:val="20"/>
          <w:lang w:val="en-US"/>
        </w:rPr>
        <w:t xml:space="preserve"> we began to </w:t>
      </w:r>
      <w:r w:rsidR="00695717">
        <w:rPr>
          <w:rFonts w:asciiTheme="minorHAnsi" w:hAnsiTheme="minorHAnsi" w:cstheme="minorHAnsi"/>
          <w:bCs/>
          <w:sz w:val="20"/>
          <w:szCs w:val="20"/>
          <w:lang w:val="en-US"/>
        </w:rPr>
        <w:t>benefit from</w:t>
      </w:r>
      <w:r w:rsidR="00CA1244" w:rsidRPr="002340A1">
        <w:rPr>
          <w:rFonts w:asciiTheme="minorHAnsi" w:hAnsiTheme="minorHAnsi" w:cstheme="minorHAnsi"/>
          <w:bCs/>
          <w:sz w:val="20"/>
          <w:szCs w:val="20"/>
          <w:lang w:val="en-US"/>
        </w:rPr>
        <w:t xml:space="preserve"> the fall in freight rates, which has helped to mitigate the weakness that we have seen in the value of Sterling. The increase in gross margin means that gross profit rose </w:t>
      </w:r>
      <w:r w:rsidR="00F4422F">
        <w:rPr>
          <w:rFonts w:asciiTheme="minorHAnsi" w:hAnsiTheme="minorHAnsi" w:cstheme="minorHAnsi"/>
          <w:bCs/>
          <w:sz w:val="20"/>
          <w:szCs w:val="20"/>
          <w:lang w:val="en-US"/>
        </w:rPr>
        <w:t>3</w:t>
      </w:r>
      <w:r w:rsidR="00CA1244" w:rsidRPr="002340A1">
        <w:rPr>
          <w:rFonts w:asciiTheme="minorHAnsi" w:hAnsiTheme="minorHAnsi" w:cstheme="minorHAnsi"/>
          <w:bCs/>
          <w:sz w:val="20"/>
          <w:szCs w:val="20"/>
          <w:lang w:val="en-US"/>
        </w:rPr>
        <w:t xml:space="preserve">% to £21.6m (H1 2022: £20.9m). </w:t>
      </w:r>
    </w:p>
    <w:p w14:paraId="00AA4A34" w14:textId="77777777" w:rsidR="00B52960" w:rsidRPr="006D26BB" w:rsidRDefault="00B52960" w:rsidP="00CA1244">
      <w:pPr>
        <w:spacing w:after="0" w:line="240" w:lineRule="auto"/>
        <w:jc w:val="both"/>
        <w:rPr>
          <w:rFonts w:asciiTheme="minorHAnsi" w:hAnsiTheme="minorHAnsi" w:cstheme="minorHAnsi"/>
          <w:bCs/>
          <w:color w:val="000000" w:themeColor="text1"/>
          <w:sz w:val="20"/>
          <w:szCs w:val="20"/>
          <w:lang w:val="en-US"/>
        </w:rPr>
      </w:pPr>
    </w:p>
    <w:p w14:paraId="2FC577CB" w14:textId="57C35726" w:rsidR="00E713D8" w:rsidRPr="002340A1" w:rsidRDefault="00B52960" w:rsidP="00CA1244">
      <w:pPr>
        <w:spacing w:after="0" w:line="240" w:lineRule="auto"/>
        <w:jc w:val="both"/>
        <w:rPr>
          <w:rFonts w:asciiTheme="minorHAnsi" w:hAnsiTheme="minorHAnsi" w:cstheme="minorHAnsi"/>
          <w:bCs/>
          <w:sz w:val="20"/>
          <w:szCs w:val="20"/>
          <w:lang w:val="en-US"/>
        </w:rPr>
      </w:pPr>
      <w:r w:rsidRPr="002340A1">
        <w:rPr>
          <w:rFonts w:asciiTheme="minorHAnsi" w:hAnsiTheme="minorHAnsi" w:cstheme="minorHAnsi"/>
          <w:bCs/>
          <w:sz w:val="20"/>
          <w:szCs w:val="20"/>
          <w:lang w:val="en-US"/>
        </w:rPr>
        <w:t xml:space="preserve">Administrative expenses rose 8% to £10.4m (H1 2022: </w:t>
      </w:r>
      <w:r w:rsidR="0017327B">
        <w:rPr>
          <w:rFonts w:asciiTheme="minorHAnsi" w:hAnsiTheme="minorHAnsi" w:cstheme="minorHAnsi"/>
          <w:bCs/>
          <w:sz w:val="20"/>
          <w:szCs w:val="20"/>
          <w:lang w:val="en-US"/>
        </w:rPr>
        <w:t>£</w:t>
      </w:r>
      <w:r w:rsidRPr="002340A1">
        <w:rPr>
          <w:rFonts w:asciiTheme="minorHAnsi" w:hAnsiTheme="minorHAnsi" w:cstheme="minorHAnsi"/>
          <w:bCs/>
          <w:sz w:val="20"/>
          <w:szCs w:val="20"/>
          <w:lang w:val="en-US"/>
        </w:rPr>
        <w:t xml:space="preserve">9.7m). Although we have seen relatively low levels of inflationary pressure on our cost of sales, and hence </w:t>
      </w:r>
      <w:r w:rsidR="00B018BF">
        <w:rPr>
          <w:rFonts w:asciiTheme="minorHAnsi" w:hAnsiTheme="minorHAnsi" w:cstheme="minorHAnsi"/>
          <w:bCs/>
          <w:sz w:val="20"/>
          <w:szCs w:val="20"/>
          <w:lang w:val="en-US"/>
        </w:rPr>
        <w:t>on</w:t>
      </w:r>
      <w:r w:rsidRPr="002340A1">
        <w:rPr>
          <w:rFonts w:asciiTheme="minorHAnsi" w:hAnsiTheme="minorHAnsi" w:cstheme="minorHAnsi"/>
          <w:bCs/>
          <w:sz w:val="20"/>
          <w:szCs w:val="20"/>
          <w:lang w:val="en-US"/>
        </w:rPr>
        <w:t xml:space="preserve"> revenue</w:t>
      </w:r>
      <w:r w:rsidR="005840E8">
        <w:rPr>
          <w:rFonts w:asciiTheme="minorHAnsi" w:hAnsiTheme="minorHAnsi" w:cstheme="minorHAnsi"/>
          <w:bCs/>
          <w:sz w:val="20"/>
          <w:szCs w:val="20"/>
          <w:lang w:val="en-US"/>
        </w:rPr>
        <w:t>s</w:t>
      </w:r>
      <w:r w:rsidRPr="002340A1">
        <w:rPr>
          <w:rFonts w:asciiTheme="minorHAnsi" w:hAnsiTheme="minorHAnsi" w:cstheme="minorHAnsi"/>
          <w:bCs/>
          <w:sz w:val="20"/>
          <w:szCs w:val="20"/>
          <w:lang w:val="en-US"/>
        </w:rPr>
        <w:t xml:space="preserve">, we have seen cost pressure in our operating costs. Our wage bill, which makes up 70% of our </w:t>
      </w:r>
      <w:r w:rsidR="008E6151" w:rsidRPr="002340A1">
        <w:rPr>
          <w:rFonts w:asciiTheme="minorHAnsi" w:hAnsiTheme="minorHAnsi" w:cstheme="minorHAnsi"/>
          <w:bCs/>
          <w:sz w:val="20"/>
          <w:szCs w:val="20"/>
          <w:lang w:val="en-US"/>
        </w:rPr>
        <w:t>administrative</w:t>
      </w:r>
      <w:r w:rsidRPr="002340A1">
        <w:rPr>
          <w:rFonts w:asciiTheme="minorHAnsi" w:hAnsiTheme="minorHAnsi" w:cstheme="minorHAnsi"/>
          <w:bCs/>
          <w:sz w:val="20"/>
          <w:szCs w:val="20"/>
          <w:lang w:val="en-US"/>
        </w:rPr>
        <w:t xml:space="preserve"> expenses, rose by 6% in the period, as we increased salaries for our people to help mitigate the effects of the </w:t>
      </w:r>
      <w:r w:rsidR="00E713D8" w:rsidRPr="002340A1">
        <w:rPr>
          <w:rFonts w:asciiTheme="minorHAnsi" w:hAnsiTheme="minorHAnsi" w:cstheme="minorHAnsi"/>
          <w:bCs/>
          <w:sz w:val="20"/>
          <w:szCs w:val="20"/>
          <w:lang w:val="en-US"/>
        </w:rPr>
        <w:t>cost-of-living</w:t>
      </w:r>
      <w:r w:rsidRPr="002340A1">
        <w:rPr>
          <w:rFonts w:asciiTheme="minorHAnsi" w:hAnsiTheme="minorHAnsi" w:cstheme="minorHAnsi"/>
          <w:bCs/>
          <w:sz w:val="20"/>
          <w:szCs w:val="20"/>
          <w:lang w:val="en-US"/>
        </w:rPr>
        <w:t xml:space="preserve"> crisis. </w:t>
      </w:r>
      <w:r w:rsidR="00E713D8" w:rsidRPr="002340A1">
        <w:rPr>
          <w:rFonts w:asciiTheme="minorHAnsi" w:hAnsiTheme="minorHAnsi" w:cstheme="minorHAnsi"/>
          <w:bCs/>
          <w:sz w:val="20"/>
          <w:szCs w:val="20"/>
          <w:lang w:val="en-US"/>
        </w:rPr>
        <w:t xml:space="preserve">This is consistent with our intention to always do the right thing and to invest in our people. </w:t>
      </w:r>
    </w:p>
    <w:p w14:paraId="5FBCBCB9" w14:textId="77777777" w:rsidR="00E713D8" w:rsidRPr="002340A1" w:rsidRDefault="00E713D8" w:rsidP="00CA1244">
      <w:pPr>
        <w:spacing w:after="0" w:line="240" w:lineRule="auto"/>
        <w:jc w:val="both"/>
        <w:rPr>
          <w:rFonts w:asciiTheme="minorHAnsi" w:hAnsiTheme="minorHAnsi" w:cstheme="minorHAnsi"/>
          <w:bCs/>
          <w:sz w:val="20"/>
          <w:szCs w:val="20"/>
          <w:lang w:val="en-US"/>
        </w:rPr>
      </w:pPr>
    </w:p>
    <w:p w14:paraId="1FED5C3F" w14:textId="4B141024" w:rsidR="00B52960" w:rsidRPr="002340A1" w:rsidRDefault="001D7411" w:rsidP="00CA1244">
      <w:pPr>
        <w:spacing w:after="0" w:line="240" w:lineRule="auto"/>
        <w:jc w:val="both"/>
        <w:rPr>
          <w:rFonts w:asciiTheme="minorHAnsi" w:hAnsiTheme="minorHAnsi" w:cstheme="minorHAnsi"/>
          <w:bCs/>
          <w:sz w:val="20"/>
          <w:szCs w:val="20"/>
          <w:lang w:val="en-US"/>
        </w:rPr>
      </w:pPr>
      <w:r w:rsidRPr="002340A1">
        <w:rPr>
          <w:rFonts w:asciiTheme="minorHAnsi" w:hAnsiTheme="minorHAnsi" w:cstheme="minorHAnsi"/>
          <w:bCs/>
          <w:sz w:val="20"/>
          <w:szCs w:val="20"/>
          <w:lang w:val="en-US"/>
        </w:rPr>
        <w:lastRenderedPageBreak/>
        <w:t xml:space="preserve">For the first time in </w:t>
      </w:r>
      <w:r w:rsidR="00E713D8" w:rsidRPr="002340A1">
        <w:rPr>
          <w:rFonts w:asciiTheme="minorHAnsi" w:hAnsiTheme="minorHAnsi" w:cstheme="minorHAnsi"/>
          <w:bCs/>
          <w:sz w:val="20"/>
          <w:szCs w:val="20"/>
          <w:lang w:val="en-US"/>
        </w:rPr>
        <w:t>three</w:t>
      </w:r>
      <w:r w:rsidRPr="002340A1">
        <w:rPr>
          <w:rFonts w:asciiTheme="minorHAnsi" w:hAnsiTheme="minorHAnsi" w:cstheme="minorHAnsi"/>
          <w:bCs/>
          <w:sz w:val="20"/>
          <w:szCs w:val="20"/>
          <w:lang w:val="en-US"/>
        </w:rPr>
        <w:t xml:space="preserve"> years, w</w:t>
      </w:r>
      <w:r w:rsidR="00B52960" w:rsidRPr="002340A1">
        <w:rPr>
          <w:rFonts w:asciiTheme="minorHAnsi" w:hAnsiTheme="minorHAnsi" w:cstheme="minorHAnsi"/>
          <w:bCs/>
          <w:sz w:val="20"/>
          <w:szCs w:val="20"/>
          <w:lang w:val="en-US"/>
        </w:rPr>
        <w:t xml:space="preserve">e have also </w:t>
      </w:r>
      <w:r w:rsidRPr="002340A1">
        <w:rPr>
          <w:rFonts w:asciiTheme="minorHAnsi" w:hAnsiTheme="minorHAnsi" w:cstheme="minorHAnsi"/>
          <w:bCs/>
          <w:sz w:val="20"/>
          <w:szCs w:val="20"/>
          <w:lang w:val="en-US"/>
        </w:rPr>
        <w:t xml:space="preserve">been able to </w:t>
      </w:r>
      <w:r w:rsidR="00B52960" w:rsidRPr="002340A1">
        <w:rPr>
          <w:rFonts w:asciiTheme="minorHAnsi" w:hAnsiTheme="minorHAnsi" w:cstheme="minorHAnsi"/>
          <w:bCs/>
          <w:sz w:val="20"/>
          <w:szCs w:val="20"/>
          <w:lang w:val="en-US"/>
        </w:rPr>
        <w:t>inves</w:t>
      </w:r>
      <w:r w:rsidRPr="002340A1">
        <w:rPr>
          <w:rFonts w:asciiTheme="minorHAnsi" w:hAnsiTheme="minorHAnsi" w:cstheme="minorHAnsi"/>
          <w:bCs/>
          <w:sz w:val="20"/>
          <w:szCs w:val="20"/>
          <w:lang w:val="en-US"/>
        </w:rPr>
        <w:t>t</w:t>
      </w:r>
      <w:r w:rsidR="00B52960" w:rsidRPr="002340A1">
        <w:rPr>
          <w:rFonts w:asciiTheme="minorHAnsi" w:hAnsiTheme="minorHAnsi" w:cstheme="minorHAnsi"/>
          <w:bCs/>
          <w:sz w:val="20"/>
          <w:szCs w:val="20"/>
          <w:lang w:val="en-US"/>
        </w:rPr>
        <w:t xml:space="preserve"> in attenda</w:t>
      </w:r>
      <w:r w:rsidR="00234243" w:rsidRPr="002340A1">
        <w:rPr>
          <w:rFonts w:asciiTheme="minorHAnsi" w:hAnsiTheme="minorHAnsi" w:cstheme="minorHAnsi"/>
          <w:bCs/>
          <w:sz w:val="20"/>
          <w:szCs w:val="20"/>
          <w:lang w:val="en-US"/>
        </w:rPr>
        <w:t>n</w:t>
      </w:r>
      <w:r w:rsidR="00B52960" w:rsidRPr="002340A1">
        <w:rPr>
          <w:rFonts w:asciiTheme="minorHAnsi" w:hAnsiTheme="minorHAnsi" w:cstheme="minorHAnsi"/>
          <w:bCs/>
          <w:sz w:val="20"/>
          <w:szCs w:val="20"/>
          <w:lang w:val="en-US"/>
        </w:rPr>
        <w:t>ce</w:t>
      </w:r>
      <w:r w:rsidR="00B52960" w:rsidRPr="002340A1">
        <w:rPr>
          <w:rFonts w:asciiTheme="minorHAnsi" w:hAnsiTheme="minorHAnsi" w:cstheme="minorHAnsi"/>
          <w:sz w:val="20"/>
          <w:szCs w:val="20"/>
        </w:rPr>
        <w:t xml:space="preserve"> at </w:t>
      </w:r>
      <w:proofErr w:type="spellStart"/>
      <w:r w:rsidR="00B52960" w:rsidRPr="002340A1">
        <w:rPr>
          <w:rFonts w:asciiTheme="minorHAnsi" w:hAnsiTheme="minorHAnsi" w:cstheme="minorHAnsi"/>
          <w:sz w:val="20"/>
          <w:szCs w:val="20"/>
        </w:rPr>
        <w:t>Ambiente</w:t>
      </w:r>
      <w:proofErr w:type="spellEnd"/>
      <w:r w:rsidR="00C25C72" w:rsidRPr="002340A1">
        <w:rPr>
          <w:rFonts w:asciiTheme="minorHAnsi" w:hAnsiTheme="minorHAnsi" w:cstheme="minorHAnsi"/>
          <w:sz w:val="20"/>
          <w:szCs w:val="20"/>
        </w:rPr>
        <w:t xml:space="preserve">, </w:t>
      </w:r>
      <w:r w:rsidR="00C25C72" w:rsidRPr="00C25C72">
        <w:rPr>
          <w:rFonts w:asciiTheme="minorHAnsi" w:hAnsiTheme="minorHAnsi" w:cstheme="minorHAnsi"/>
          <w:sz w:val="20"/>
          <w:szCs w:val="20"/>
        </w:rPr>
        <w:t>Europe’s largest housewares show,</w:t>
      </w:r>
      <w:r w:rsidR="00B52960" w:rsidRPr="002340A1">
        <w:rPr>
          <w:rFonts w:asciiTheme="minorHAnsi" w:hAnsiTheme="minorHAnsi" w:cstheme="minorHAnsi"/>
          <w:sz w:val="20"/>
          <w:szCs w:val="20"/>
        </w:rPr>
        <w:t xml:space="preserve"> which enabled </w:t>
      </w:r>
      <w:r w:rsidR="00C25C72" w:rsidRPr="002340A1">
        <w:rPr>
          <w:rFonts w:asciiTheme="minorHAnsi" w:hAnsiTheme="minorHAnsi" w:cstheme="minorHAnsi"/>
          <w:sz w:val="20"/>
          <w:szCs w:val="20"/>
        </w:rPr>
        <w:t>us</w:t>
      </w:r>
      <w:r w:rsidR="00B52960" w:rsidRPr="002340A1">
        <w:rPr>
          <w:rFonts w:asciiTheme="minorHAnsi" w:hAnsiTheme="minorHAnsi" w:cstheme="minorHAnsi"/>
          <w:sz w:val="20"/>
          <w:szCs w:val="20"/>
        </w:rPr>
        <w:t xml:space="preserve"> to exhibit </w:t>
      </w:r>
      <w:r w:rsidR="00C25C72" w:rsidRPr="002340A1">
        <w:rPr>
          <w:rFonts w:asciiTheme="minorHAnsi" w:hAnsiTheme="minorHAnsi" w:cstheme="minorHAnsi"/>
          <w:sz w:val="20"/>
          <w:szCs w:val="20"/>
        </w:rPr>
        <w:t>our</w:t>
      </w:r>
      <w:r w:rsidR="00B52960" w:rsidRPr="002340A1">
        <w:rPr>
          <w:rFonts w:asciiTheme="minorHAnsi" w:hAnsiTheme="minorHAnsi" w:cstheme="minorHAnsi"/>
          <w:sz w:val="20"/>
          <w:szCs w:val="20"/>
        </w:rPr>
        <w:t xml:space="preserve"> range of quality branded houseware products to new customers, consumers and suppliers, as we continue to grow brand awareness in the strategically important European market.</w:t>
      </w:r>
    </w:p>
    <w:p w14:paraId="0DDCCFA6" w14:textId="77777777" w:rsidR="00CA1244" w:rsidRPr="002340A1" w:rsidRDefault="00CA1244" w:rsidP="00243A3F">
      <w:pPr>
        <w:spacing w:after="0" w:line="240" w:lineRule="auto"/>
        <w:jc w:val="both"/>
        <w:rPr>
          <w:rFonts w:asciiTheme="minorHAnsi" w:hAnsiTheme="minorHAnsi" w:cstheme="minorHAnsi"/>
          <w:bCs/>
          <w:sz w:val="20"/>
          <w:szCs w:val="20"/>
          <w:lang w:val="en-US"/>
        </w:rPr>
      </w:pPr>
    </w:p>
    <w:p w14:paraId="0ADA6013" w14:textId="62E31BFE" w:rsidR="006005D4" w:rsidRPr="002340A1" w:rsidRDefault="006005D4" w:rsidP="00243A3F">
      <w:pPr>
        <w:spacing w:after="0" w:line="240" w:lineRule="auto"/>
        <w:jc w:val="both"/>
        <w:rPr>
          <w:rFonts w:asciiTheme="minorHAnsi" w:hAnsiTheme="minorHAnsi" w:cstheme="minorHAnsi"/>
          <w:bCs/>
          <w:sz w:val="20"/>
          <w:szCs w:val="20"/>
          <w:lang w:val="en-US"/>
        </w:rPr>
      </w:pPr>
      <w:r w:rsidRPr="002340A1">
        <w:rPr>
          <w:rFonts w:asciiTheme="minorHAnsi" w:hAnsiTheme="minorHAnsi" w:cstheme="minorHAnsi"/>
          <w:bCs/>
          <w:sz w:val="20"/>
          <w:szCs w:val="20"/>
          <w:lang w:val="en-US"/>
        </w:rPr>
        <w:t>The combination of robust revenues, improved gross margin, and slightly higher overheads has led to a stable adjusted EBITDA at £11.2m (H1 2022: £11.2m)</w:t>
      </w:r>
      <w:r w:rsidR="00F451FC">
        <w:rPr>
          <w:rFonts w:asciiTheme="minorHAnsi" w:hAnsiTheme="minorHAnsi" w:cstheme="minorHAnsi"/>
          <w:bCs/>
          <w:sz w:val="20"/>
          <w:szCs w:val="20"/>
          <w:lang w:val="en-US"/>
        </w:rPr>
        <w:t xml:space="preserve">. </w:t>
      </w:r>
    </w:p>
    <w:p w14:paraId="1F73B92B" w14:textId="77777777" w:rsidR="006005D4" w:rsidRPr="002340A1" w:rsidRDefault="006005D4" w:rsidP="00243A3F">
      <w:pPr>
        <w:spacing w:after="0" w:line="240" w:lineRule="auto"/>
        <w:jc w:val="both"/>
        <w:rPr>
          <w:rFonts w:asciiTheme="minorHAnsi" w:hAnsiTheme="minorHAnsi" w:cstheme="minorHAnsi"/>
          <w:bCs/>
          <w:sz w:val="20"/>
          <w:szCs w:val="20"/>
          <w:lang w:val="en-US"/>
        </w:rPr>
      </w:pPr>
    </w:p>
    <w:p w14:paraId="1C4E8C36" w14:textId="5B6AA030" w:rsidR="00243A3F" w:rsidRPr="002340A1" w:rsidRDefault="006005D4" w:rsidP="00243A3F">
      <w:pPr>
        <w:widowControl w:val="0"/>
        <w:overflowPunct w:val="0"/>
        <w:autoSpaceDE w:val="0"/>
        <w:autoSpaceDN w:val="0"/>
        <w:adjustRightInd w:val="0"/>
        <w:spacing w:after="0" w:line="240" w:lineRule="auto"/>
        <w:jc w:val="both"/>
        <w:rPr>
          <w:rFonts w:asciiTheme="minorHAnsi" w:hAnsiTheme="minorHAnsi" w:cstheme="minorHAnsi"/>
          <w:b/>
          <w:sz w:val="20"/>
          <w:szCs w:val="20"/>
        </w:rPr>
      </w:pPr>
      <w:bookmarkStart w:id="5" w:name="_Hlk128038067"/>
      <w:bookmarkStart w:id="6" w:name="_Hlk116660676"/>
      <w:r w:rsidRPr="002340A1">
        <w:rPr>
          <w:rFonts w:asciiTheme="minorHAnsi" w:hAnsiTheme="minorHAnsi" w:cstheme="minorHAnsi"/>
          <w:b/>
          <w:bCs/>
          <w:sz w:val="20"/>
          <w:szCs w:val="20"/>
        </w:rPr>
        <w:t>Seasonality</w:t>
      </w:r>
    </w:p>
    <w:p w14:paraId="7A393EC0" w14:textId="1609A8F9" w:rsidR="00C64F83" w:rsidRPr="002340A1" w:rsidRDefault="009B14D9" w:rsidP="00243A3F">
      <w:pPr>
        <w:widowControl w:val="0"/>
        <w:overflowPunct w:val="0"/>
        <w:autoSpaceDE w:val="0"/>
        <w:autoSpaceDN w:val="0"/>
        <w:adjustRightInd w:val="0"/>
        <w:spacing w:after="0" w:line="240" w:lineRule="auto"/>
        <w:jc w:val="both"/>
        <w:rPr>
          <w:rFonts w:asciiTheme="minorHAnsi" w:hAnsiTheme="minorHAnsi" w:cstheme="minorHAnsi"/>
          <w:bCs/>
          <w:sz w:val="20"/>
          <w:szCs w:val="20"/>
        </w:rPr>
      </w:pPr>
      <w:r w:rsidRPr="002340A1">
        <w:rPr>
          <w:rFonts w:asciiTheme="minorHAnsi" w:hAnsiTheme="minorHAnsi" w:cstheme="minorHAnsi"/>
          <w:bCs/>
          <w:sz w:val="20"/>
          <w:szCs w:val="20"/>
        </w:rPr>
        <w:t xml:space="preserve">The Group has a seasonality towards H1, with retail demand being higher in the peak Christmas trading period. However, in the current year, this </w:t>
      </w:r>
      <w:r w:rsidR="00C25C72" w:rsidRPr="00C25C72">
        <w:rPr>
          <w:rFonts w:asciiTheme="minorHAnsi" w:hAnsiTheme="minorHAnsi" w:cstheme="minorHAnsi"/>
          <w:bCs/>
          <w:sz w:val="20"/>
          <w:szCs w:val="20"/>
        </w:rPr>
        <w:t>pattern</w:t>
      </w:r>
      <w:r w:rsidRPr="002340A1">
        <w:rPr>
          <w:rFonts w:asciiTheme="minorHAnsi" w:hAnsiTheme="minorHAnsi" w:cstheme="minorHAnsi"/>
          <w:bCs/>
          <w:sz w:val="20"/>
          <w:szCs w:val="20"/>
        </w:rPr>
        <w:t xml:space="preserve"> is expected to be less </w:t>
      </w:r>
      <w:r w:rsidR="00C25C72">
        <w:rPr>
          <w:rFonts w:asciiTheme="minorHAnsi" w:hAnsiTheme="minorHAnsi" w:cstheme="minorHAnsi"/>
          <w:bCs/>
          <w:sz w:val="20"/>
          <w:szCs w:val="20"/>
        </w:rPr>
        <w:t>pronounced</w:t>
      </w:r>
      <w:r w:rsidRPr="002340A1">
        <w:rPr>
          <w:rFonts w:asciiTheme="minorHAnsi" w:hAnsiTheme="minorHAnsi" w:cstheme="minorHAnsi"/>
          <w:bCs/>
          <w:sz w:val="20"/>
          <w:szCs w:val="20"/>
        </w:rPr>
        <w:t xml:space="preserve">, with sales growth weighted towards the less seasonal online channels. As a </w:t>
      </w:r>
      <w:r w:rsidR="00C25C72" w:rsidRPr="00C25C72">
        <w:rPr>
          <w:rFonts w:asciiTheme="minorHAnsi" w:hAnsiTheme="minorHAnsi" w:cstheme="minorHAnsi"/>
          <w:bCs/>
          <w:sz w:val="20"/>
          <w:szCs w:val="20"/>
        </w:rPr>
        <w:t>result,</w:t>
      </w:r>
      <w:r w:rsidRPr="002340A1">
        <w:rPr>
          <w:rFonts w:asciiTheme="minorHAnsi" w:hAnsiTheme="minorHAnsi" w:cstheme="minorHAnsi"/>
          <w:bCs/>
          <w:sz w:val="20"/>
          <w:szCs w:val="20"/>
        </w:rPr>
        <w:t xml:space="preserve"> it is anticipated that the operating profits for the second half of the year </w:t>
      </w:r>
      <w:r w:rsidR="00C25C72">
        <w:rPr>
          <w:rFonts w:asciiTheme="minorHAnsi" w:hAnsiTheme="minorHAnsi" w:cstheme="minorHAnsi"/>
          <w:bCs/>
          <w:sz w:val="20"/>
          <w:szCs w:val="20"/>
        </w:rPr>
        <w:t xml:space="preserve">to </w:t>
      </w:r>
      <w:r w:rsidRPr="002340A1">
        <w:rPr>
          <w:rFonts w:asciiTheme="minorHAnsi" w:hAnsiTheme="minorHAnsi" w:cstheme="minorHAnsi"/>
          <w:bCs/>
          <w:sz w:val="20"/>
          <w:szCs w:val="20"/>
        </w:rPr>
        <w:t xml:space="preserve">31 July 2023 will be </w:t>
      </w:r>
      <w:r w:rsidR="00C25C72">
        <w:rPr>
          <w:rFonts w:asciiTheme="minorHAnsi" w:hAnsiTheme="minorHAnsi" w:cstheme="minorHAnsi"/>
          <w:bCs/>
          <w:sz w:val="20"/>
          <w:szCs w:val="20"/>
        </w:rPr>
        <w:t xml:space="preserve">only </w:t>
      </w:r>
      <w:r w:rsidRPr="002340A1">
        <w:rPr>
          <w:rFonts w:asciiTheme="minorHAnsi" w:hAnsiTheme="minorHAnsi" w:cstheme="minorHAnsi"/>
          <w:bCs/>
          <w:sz w:val="20"/>
          <w:szCs w:val="20"/>
        </w:rPr>
        <w:t>marginally lower than for the six months ended 31 January 2023.</w:t>
      </w:r>
    </w:p>
    <w:bookmarkEnd w:id="5"/>
    <w:p w14:paraId="37B5FABB" w14:textId="77777777" w:rsidR="006217AE" w:rsidRPr="002340A1" w:rsidRDefault="006217AE" w:rsidP="00243A3F">
      <w:pPr>
        <w:widowControl w:val="0"/>
        <w:overflowPunct w:val="0"/>
        <w:autoSpaceDE w:val="0"/>
        <w:autoSpaceDN w:val="0"/>
        <w:adjustRightInd w:val="0"/>
        <w:spacing w:after="0" w:line="240" w:lineRule="auto"/>
        <w:jc w:val="both"/>
        <w:rPr>
          <w:rFonts w:asciiTheme="minorHAnsi" w:hAnsiTheme="minorHAnsi" w:cstheme="minorHAnsi"/>
          <w:bCs/>
          <w:sz w:val="20"/>
          <w:szCs w:val="20"/>
        </w:rPr>
      </w:pPr>
    </w:p>
    <w:bookmarkEnd w:id="6"/>
    <w:p w14:paraId="287D463A" w14:textId="77777777" w:rsidR="00243A3F" w:rsidRPr="002340A1" w:rsidRDefault="00243A3F" w:rsidP="00243A3F">
      <w:pPr>
        <w:widowControl w:val="0"/>
        <w:autoSpaceDE w:val="0"/>
        <w:autoSpaceDN w:val="0"/>
        <w:adjustRightInd w:val="0"/>
        <w:spacing w:after="0" w:line="240" w:lineRule="auto"/>
        <w:rPr>
          <w:rFonts w:asciiTheme="minorHAnsi" w:hAnsiTheme="minorHAnsi" w:cstheme="minorHAnsi"/>
          <w:b/>
          <w:sz w:val="20"/>
          <w:szCs w:val="20"/>
        </w:rPr>
      </w:pPr>
      <w:r w:rsidRPr="002340A1">
        <w:rPr>
          <w:rFonts w:asciiTheme="minorHAnsi" w:hAnsiTheme="minorHAnsi" w:cstheme="minorHAnsi"/>
          <w:b/>
          <w:sz w:val="20"/>
          <w:szCs w:val="20"/>
        </w:rPr>
        <w:t xml:space="preserve">Adjusted &amp; statutory </w:t>
      </w:r>
      <w:proofErr w:type="gramStart"/>
      <w:r w:rsidRPr="002340A1">
        <w:rPr>
          <w:rFonts w:asciiTheme="minorHAnsi" w:hAnsiTheme="minorHAnsi" w:cstheme="minorHAnsi"/>
          <w:b/>
          <w:sz w:val="20"/>
          <w:szCs w:val="20"/>
        </w:rPr>
        <w:t>profit</w:t>
      </w:r>
      <w:proofErr w:type="gramEnd"/>
    </w:p>
    <w:p w14:paraId="19AAD761" w14:textId="0FC31A55" w:rsidR="00243A3F" w:rsidRPr="006D26BB" w:rsidRDefault="00243A3F" w:rsidP="00243A3F">
      <w:pPr>
        <w:widowControl w:val="0"/>
        <w:overflowPunct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340A1">
        <w:rPr>
          <w:rFonts w:asciiTheme="minorHAnsi" w:hAnsiTheme="minorHAnsi" w:cstheme="minorHAnsi"/>
          <w:bCs/>
          <w:sz w:val="20"/>
          <w:szCs w:val="20"/>
        </w:rPr>
        <w:t xml:space="preserve">Depreciation and amortisation increased </w:t>
      </w:r>
      <w:r w:rsidR="0017327B">
        <w:rPr>
          <w:rFonts w:asciiTheme="minorHAnsi" w:hAnsiTheme="minorHAnsi" w:cstheme="minorHAnsi"/>
          <w:bCs/>
          <w:sz w:val="20"/>
          <w:szCs w:val="20"/>
        </w:rPr>
        <w:t>1</w:t>
      </w:r>
      <w:r w:rsidR="002945C7" w:rsidRPr="002340A1">
        <w:rPr>
          <w:rFonts w:asciiTheme="minorHAnsi" w:hAnsiTheme="minorHAnsi" w:cstheme="minorHAnsi"/>
          <w:bCs/>
          <w:sz w:val="20"/>
          <w:szCs w:val="20"/>
        </w:rPr>
        <w:t>9</w:t>
      </w:r>
      <w:r w:rsidRPr="002340A1">
        <w:rPr>
          <w:rFonts w:asciiTheme="minorHAnsi" w:hAnsiTheme="minorHAnsi" w:cstheme="minorHAnsi"/>
          <w:bCs/>
          <w:sz w:val="20"/>
          <w:szCs w:val="20"/>
        </w:rPr>
        <w:t>% to £</w:t>
      </w:r>
      <w:r w:rsidR="002945C7" w:rsidRPr="006D26BB">
        <w:rPr>
          <w:rFonts w:asciiTheme="minorHAnsi" w:hAnsiTheme="minorHAnsi" w:cstheme="minorHAnsi"/>
          <w:bCs/>
          <w:color w:val="000000" w:themeColor="text1"/>
          <w:sz w:val="20"/>
          <w:szCs w:val="20"/>
        </w:rPr>
        <w:t>1.1</w:t>
      </w:r>
      <w:r w:rsidRPr="006D26BB">
        <w:rPr>
          <w:rFonts w:asciiTheme="minorHAnsi" w:hAnsiTheme="minorHAnsi" w:cstheme="minorHAnsi"/>
          <w:bCs/>
          <w:color w:val="000000" w:themeColor="text1"/>
          <w:sz w:val="20"/>
          <w:szCs w:val="20"/>
        </w:rPr>
        <w:t>m (</w:t>
      </w:r>
      <w:r w:rsidR="002945C7" w:rsidRPr="006D26BB">
        <w:rPr>
          <w:rFonts w:asciiTheme="minorHAnsi" w:hAnsiTheme="minorHAnsi" w:cstheme="minorHAnsi"/>
          <w:bCs/>
          <w:color w:val="000000" w:themeColor="text1"/>
          <w:sz w:val="20"/>
          <w:szCs w:val="20"/>
        </w:rPr>
        <w:t>H1 2022</w:t>
      </w:r>
      <w:r w:rsidRPr="006D26BB">
        <w:rPr>
          <w:rFonts w:asciiTheme="minorHAnsi" w:hAnsiTheme="minorHAnsi" w:cstheme="minorHAnsi"/>
          <w:bCs/>
          <w:color w:val="000000" w:themeColor="text1"/>
          <w:sz w:val="20"/>
          <w:szCs w:val="20"/>
        </w:rPr>
        <w:t>: £1</w:t>
      </w:r>
      <w:r w:rsidR="002945C7" w:rsidRPr="006D26BB">
        <w:rPr>
          <w:rFonts w:asciiTheme="minorHAnsi" w:hAnsiTheme="minorHAnsi" w:cstheme="minorHAnsi"/>
          <w:bCs/>
          <w:color w:val="000000" w:themeColor="text1"/>
          <w:sz w:val="20"/>
          <w:szCs w:val="20"/>
        </w:rPr>
        <w:t>.0</w:t>
      </w:r>
      <w:r w:rsidRPr="006D26BB">
        <w:rPr>
          <w:rFonts w:asciiTheme="minorHAnsi" w:hAnsiTheme="minorHAnsi" w:cstheme="minorHAnsi"/>
          <w:bCs/>
          <w:color w:val="000000" w:themeColor="text1"/>
          <w:sz w:val="20"/>
          <w:szCs w:val="20"/>
        </w:rPr>
        <w:t xml:space="preserve">m) </w:t>
      </w:r>
      <w:proofErr w:type="gramStart"/>
      <w:r w:rsidRPr="006D26BB">
        <w:rPr>
          <w:rFonts w:asciiTheme="minorHAnsi" w:hAnsiTheme="minorHAnsi" w:cstheme="minorHAnsi"/>
          <w:bCs/>
          <w:color w:val="000000" w:themeColor="text1"/>
          <w:sz w:val="20"/>
          <w:szCs w:val="20"/>
        </w:rPr>
        <w:t>as a result of</w:t>
      </w:r>
      <w:proofErr w:type="gramEnd"/>
      <w:r w:rsidRPr="006D26BB">
        <w:rPr>
          <w:rFonts w:asciiTheme="minorHAnsi" w:hAnsiTheme="minorHAnsi" w:cstheme="minorHAnsi"/>
          <w:bCs/>
          <w:color w:val="000000" w:themeColor="text1"/>
          <w:sz w:val="20"/>
          <w:szCs w:val="20"/>
        </w:rPr>
        <w:t xml:space="preserve"> the increase in the depreciation charge following from our investment in</w:t>
      </w:r>
      <w:r w:rsidR="002945C7" w:rsidRPr="006D26BB">
        <w:rPr>
          <w:rFonts w:asciiTheme="minorHAnsi" w:hAnsiTheme="minorHAnsi" w:cstheme="minorHAnsi"/>
          <w:bCs/>
          <w:color w:val="000000" w:themeColor="text1"/>
          <w:sz w:val="20"/>
          <w:szCs w:val="20"/>
        </w:rPr>
        <w:t xml:space="preserve"> solar panels at our Manor Mill head office during the summer of 2022. </w:t>
      </w:r>
    </w:p>
    <w:p w14:paraId="4A155E88" w14:textId="77777777" w:rsidR="00243A3F" w:rsidRPr="006D26BB" w:rsidRDefault="00243A3F" w:rsidP="00243A3F">
      <w:pPr>
        <w:widowControl w:val="0"/>
        <w:overflowPunct w:val="0"/>
        <w:autoSpaceDE w:val="0"/>
        <w:autoSpaceDN w:val="0"/>
        <w:adjustRightInd w:val="0"/>
        <w:spacing w:after="0" w:line="240" w:lineRule="auto"/>
        <w:jc w:val="both"/>
        <w:rPr>
          <w:rFonts w:asciiTheme="minorHAnsi" w:hAnsiTheme="minorHAnsi" w:cstheme="minorHAnsi"/>
          <w:bCs/>
          <w:color w:val="000000" w:themeColor="text1"/>
          <w:sz w:val="20"/>
          <w:szCs w:val="20"/>
        </w:rPr>
      </w:pPr>
    </w:p>
    <w:p w14:paraId="301EFC3F" w14:textId="16CCAEBC" w:rsidR="002945C7" w:rsidRPr="006D26BB" w:rsidRDefault="00243A3F" w:rsidP="00243A3F">
      <w:pPr>
        <w:widowControl w:val="0"/>
        <w:overflowPunct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D26BB">
        <w:rPr>
          <w:rFonts w:asciiTheme="minorHAnsi" w:hAnsiTheme="minorHAnsi" w:cstheme="minorHAnsi"/>
          <w:bCs/>
          <w:color w:val="000000" w:themeColor="text1"/>
          <w:sz w:val="20"/>
          <w:szCs w:val="20"/>
        </w:rPr>
        <w:t xml:space="preserve">The finance charge has increased </w:t>
      </w:r>
      <w:r w:rsidR="00566C41">
        <w:rPr>
          <w:rFonts w:asciiTheme="minorHAnsi" w:hAnsiTheme="minorHAnsi" w:cstheme="minorHAnsi"/>
          <w:bCs/>
          <w:color w:val="000000" w:themeColor="text1"/>
          <w:sz w:val="20"/>
          <w:szCs w:val="20"/>
        </w:rPr>
        <w:t>£0.3m</w:t>
      </w:r>
      <w:r w:rsidRPr="006D26BB">
        <w:rPr>
          <w:rFonts w:asciiTheme="minorHAnsi" w:hAnsiTheme="minorHAnsi" w:cstheme="minorHAnsi"/>
          <w:bCs/>
          <w:color w:val="000000" w:themeColor="text1"/>
          <w:sz w:val="20"/>
          <w:szCs w:val="20"/>
        </w:rPr>
        <w:t xml:space="preserve"> to £0.</w:t>
      </w:r>
      <w:r w:rsidR="002945C7" w:rsidRPr="006D26BB">
        <w:rPr>
          <w:rFonts w:asciiTheme="minorHAnsi" w:hAnsiTheme="minorHAnsi" w:cstheme="minorHAnsi"/>
          <w:bCs/>
          <w:color w:val="000000" w:themeColor="text1"/>
          <w:sz w:val="20"/>
          <w:szCs w:val="20"/>
        </w:rPr>
        <w:t>7</w:t>
      </w:r>
      <w:r w:rsidRPr="006D26BB">
        <w:rPr>
          <w:rFonts w:asciiTheme="minorHAnsi" w:hAnsiTheme="minorHAnsi" w:cstheme="minorHAnsi"/>
          <w:bCs/>
          <w:color w:val="000000" w:themeColor="text1"/>
          <w:sz w:val="20"/>
          <w:szCs w:val="20"/>
        </w:rPr>
        <w:t>m (</w:t>
      </w:r>
      <w:r w:rsidR="002945C7" w:rsidRPr="006D26BB">
        <w:rPr>
          <w:rFonts w:asciiTheme="minorHAnsi" w:hAnsiTheme="minorHAnsi" w:cstheme="minorHAnsi"/>
          <w:bCs/>
          <w:color w:val="000000" w:themeColor="text1"/>
          <w:sz w:val="20"/>
          <w:szCs w:val="20"/>
        </w:rPr>
        <w:t>H1 2022</w:t>
      </w:r>
      <w:r w:rsidRPr="006D26BB">
        <w:rPr>
          <w:rFonts w:asciiTheme="minorHAnsi" w:hAnsiTheme="minorHAnsi" w:cstheme="minorHAnsi"/>
          <w:bCs/>
          <w:color w:val="000000" w:themeColor="text1"/>
          <w:sz w:val="20"/>
          <w:szCs w:val="20"/>
        </w:rPr>
        <w:t>: £0.</w:t>
      </w:r>
      <w:r w:rsidR="002945C7" w:rsidRPr="006D26BB">
        <w:rPr>
          <w:rFonts w:asciiTheme="minorHAnsi" w:hAnsiTheme="minorHAnsi" w:cstheme="minorHAnsi"/>
          <w:bCs/>
          <w:color w:val="000000" w:themeColor="text1"/>
          <w:sz w:val="20"/>
          <w:szCs w:val="20"/>
        </w:rPr>
        <w:t>4</w:t>
      </w:r>
      <w:r w:rsidRPr="006D26BB">
        <w:rPr>
          <w:rFonts w:asciiTheme="minorHAnsi" w:hAnsiTheme="minorHAnsi" w:cstheme="minorHAnsi"/>
          <w:bCs/>
          <w:color w:val="000000" w:themeColor="text1"/>
          <w:sz w:val="20"/>
          <w:szCs w:val="20"/>
        </w:rPr>
        <w:t xml:space="preserve">m) due to the higher level </w:t>
      </w:r>
      <w:r w:rsidR="002945C7" w:rsidRPr="006D26BB">
        <w:rPr>
          <w:rFonts w:asciiTheme="minorHAnsi" w:hAnsiTheme="minorHAnsi" w:cstheme="minorHAnsi"/>
          <w:bCs/>
          <w:color w:val="000000" w:themeColor="text1"/>
          <w:sz w:val="20"/>
          <w:szCs w:val="20"/>
        </w:rPr>
        <w:t xml:space="preserve">of interest rates. The Group has benefitted from the hedging instruments it </w:t>
      </w:r>
      <w:proofErr w:type="gramStart"/>
      <w:r w:rsidR="002945C7" w:rsidRPr="006D26BB">
        <w:rPr>
          <w:rFonts w:asciiTheme="minorHAnsi" w:hAnsiTheme="minorHAnsi" w:cstheme="minorHAnsi"/>
          <w:bCs/>
          <w:color w:val="000000" w:themeColor="text1"/>
          <w:sz w:val="20"/>
          <w:szCs w:val="20"/>
        </w:rPr>
        <w:t>entered into</w:t>
      </w:r>
      <w:proofErr w:type="gramEnd"/>
      <w:r w:rsidR="002945C7" w:rsidRPr="006D26BB">
        <w:rPr>
          <w:rFonts w:asciiTheme="minorHAnsi" w:hAnsiTheme="minorHAnsi" w:cstheme="minorHAnsi"/>
          <w:bCs/>
          <w:color w:val="000000" w:themeColor="text1"/>
          <w:sz w:val="20"/>
          <w:szCs w:val="20"/>
        </w:rPr>
        <w:t xml:space="preserve"> when interest rates were at historically low levels. These instruments cover an aggregate principle of £18.</w:t>
      </w:r>
      <w:proofErr w:type="gramStart"/>
      <w:r w:rsidR="002945C7" w:rsidRPr="006D26BB">
        <w:rPr>
          <w:rFonts w:asciiTheme="minorHAnsi" w:hAnsiTheme="minorHAnsi" w:cstheme="minorHAnsi"/>
          <w:bCs/>
          <w:color w:val="000000" w:themeColor="text1"/>
          <w:sz w:val="20"/>
          <w:szCs w:val="20"/>
        </w:rPr>
        <w:t>3m, and</w:t>
      </w:r>
      <w:proofErr w:type="gramEnd"/>
      <w:r w:rsidR="002945C7" w:rsidRPr="006D26BB">
        <w:rPr>
          <w:rFonts w:asciiTheme="minorHAnsi" w:hAnsiTheme="minorHAnsi" w:cstheme="minorHAnsi"/>
          <w:bCs/>
          <w:color w:val="000000" w:themeColor="text1"/>
          <w:sz w:val="20"/>
          <w:szCs w:val="20"/>
        </w:rPr>
        <w:t xml:space="preserve"> are a mix of swaps and caps. These instruments have successfully limited the effect of</w:t>
      </w:r>
      <w:r w:rsidR="00566C41">
        <w:rPr>
          <w:rFonts w:asciiTheme="minorHAnsi" w:hAnsiTheme="minorHAnsi" w:cstheme="minorHAnsi"/>
          <w:bCs/>
          <w:color w:val="000000" w:themeColor="text1"/>
          <w:sz w:val="20"/>
          <w:szCs w:val="20"/>
        </w:rPr>
        <w:t xml:space="preserve"> </w:t>
      </w:r>
      <w:r w:rsidR="002945C7" w:rsidRPr="006D26BB">
        <w:rPr>
          <w:rFonts w:asciiTheme="minorHAnsi" w:hAnsiTheme="minorHAnsi" w:cstheme="minorHAnsi"/>
          <w:bCs/>
          <w:color w:val="000000" w:themeColor="text1"/>
          <w:sz w:val="20"/>
          <w:szCs w:val="20"/>
        </w:rPr>
        <w:t>higher interest rates.</w:t>
      </w:r>
    </w:p>
    <w:p w14:paraId="6A1F7776" w14:textId="77777777" w:rsidR="002945C7" w:rsidRPr="006D26BB" w:rsidRDefault="002945C7" w:rsidP="00243A3F">
      <w:pPr>
        <w:widowControl w:val="0"/>
        <w:overflowPunct w:val="0"/>
        <w:autoSpaceDE w:val="0"/>
        <w:autoSpaceDN w:val="0"/>
        <w:adjustRightInd w:val="0"/>
        <w:spacing w:after="0" w:line="240" w:lineRule="auto"/>
        <w:jc w:val="both"/>
        <w:rPr>
          <w:rFonts w:asciiTheme="minorHAnsi" w:hAnsiTheme="minorHAnsi" w:cstheme="minorHAnsi"/>
          <w:bCs/>
          <w:color w:val="000000" w:themeColor="text1"/>
          <w:sz w:val="20"/>
          <w:szCs w:val="20"/>
        </w:rPr>
      </w:pPr>
    </w:p>
    <w:p w14:paraId="714735C7" w14:textId="0D32EF03" w:rsidR="00243A3F" w:rsidRPr="006D26BB" w:rsidRDefault="00243A3F" w:rsidP="00243A3F">
      <w:pPr>
        <w:widowControl w:val="0"/>
        <w:overflowPunct w:val="0"/>
        <w:autoSpaceDE w:val="0"/>
        <w:autoSpaceDN w:val="0"/>
        <w:adjustRightInd w:val="0"/>
        <w:spacing w:after="0" w:line="240" w:lineRule="auto"/>
        <w:jc w:val="both"/>
        <w:rPr>
          <w:rFonts w:asciiTheme="minorHAnsi" w:hAnsiTheme="minorHAnsi" w:cstheme="minorHAnsi"/>
          <w:bCs/>
          <w:color w:val="000000" w:themeColor="text1"/>
          <w:sz w:val="20"/>
          <w:szCs w:val="20"/>
          <w:lang w:val="en-US"/>
        </w:rPr>
      </w:pPr>
      <w:bookmarkStart w:id="7" w:name="page22"/>
      <w:bookmarkEnd w:id="7"/>
      <w:r w:rsidRPr="006D26BB">
        <w:rPr>
          <w:rFonts w:asciiTheme="minorHAnsi" w:hAnsiTheme="minorHAnsi" w:cstheme="minorHAnsi"/>
          <w:bCs/>
          <w:color w:val="000000" w:themeColor="text1"/>
          <w:sz w:val="20"/>
          <w:szCs w:val="20"/>
        </w:rPr>
        <w:t>The tax charge for the period at 21% (</w:t>
      </w:r>
      <w:r w:rsidR="002945C7" w:rsidRPr="006D26BB">
        <w:rPr>
          <w:rFonts w:asciiTheme="minorHAnsi" w:hAnsiTheme="minorHAnsi" w:cstheme="minorHAnsi"/>
          <w:bCs/>
          <w:color w:val="000000" w:themeColor="text1"/>
          <w:sz w:val="20"/>
          <w:szCs w:val="20"/>
        </w:rPr>
        <w:t>H1 2022</w:t>
      </w:r>
      <w:r w:rsidRPr="006D26BB">
        <w:rPr>
          <w:rFonts w:asciiTheme="minorHAnsi" w:hAnsiTheme="minorHAnsi" w:cstheme="minorHAnsi"/>
          <w:bCs/>
          <w:color w:val="000000" w:themeColor="text1"/>
          <w:sz w:val="20"/>
          <w:szCs w:val="20"/>
        </w:rPr>
        <w:t>: 2</w:t>
      </w:r>
      <w:r w:rsidR="002945C7" w:rsidRPr="006D26BB">
        <w:rPr>
          <w:rFonts w:asciiTheme="minorHAnsi" w:hAnsiTheme="minorHAnsi" w:cstheme="minorHAnsi"/>
          <w:bCs/>
          <w:color w:val="000000" w:themeColor="text1"/>
          <w:sz w:val="20"/>
          <w:szCs w:val="20"/>
        </w:rPr>
        <w:t>2</w:t>
      </w:r>
      <w:r w:rsidRPr="006D26BB">
        <w:rPr>
          <w:rFonts w:asciiTheme="minorHAnsi" w:hAnsiTheme="minorHAnsi" w:cstheme="minorHAnsi"/>
          <w:bCs/>
          <w:color w:val="000000" w:themeColor="text1"/>
          <w:sz w:val="20"/>
          <w:szCs w:val="20"/>
        </w:rPr>
        <w:t xml:space="preserve">%) was higher than the statutory rate of 19% due </w:t>
      </w:r>
      <w:r w:rsidRPr="006D26BB">
        <w:rPr>
          <w:rFonts w:asciiTheme="minorHAnsi" w:hAnsiTheme="minorHAnsi" w:cstheme="minorHAnsi"/>
          <w:bCs/>
          <w:color w:val="000000" w:themeColor="text1"/>
          <w:sz w:val="20"/>
          <w:szCs w:val="20"/>
          <w:lang w:val="en-US"/>
        </w:rPr>
        <w:t xml:space="preserve">to the higher statutory rate of tax paid on our European foreign branches in Germany and Poland.  </w:t>
      </w:r>
    </w:p>
    <w:p w14:paraId="53E70C90" w14:textId="77777777" w:rsidR="00243A3F" w:rsidRPr="006D26BB" w:rsidRDefault="00243A3F" w:rsidP="00243A3F">
      <w:pPr>
        <w:widowControl w:val="0"/>
        <w:overflowPunct w:val="0"/>
        <w:autoSpaceDE w:val="0"/>
        <w:autoSpaceDN w:val="0"/>
        <w:adjustRightInd w:val="0"/>
        <w:spacing w:after="0" w:line="240" w:lineRule="auto"/>
        <w:jc w:val="both"/>
        <w:rPr>
          <w:rFonts w:asciiTheme="minorHAnsi" w:hAnsiTheme="minorHAnsi" w:cstheme="minorHAnsi"/>
          <w:bCs/>
          <w:color w:val="000000" w:themeColor="text1"/>
          <w:sz w:val="20"/>
          <w:szCs w:val="20"/>
          <w:lang w:val="en-US"/>
        </w:rPr>
      </w:pPr>
    </w:p>
    <w:p w14:paraId="61D9DCE2" w14:textId="302C12AA" w:rsidR="00243A3F" w:rsidRPr="006D26BB" w:rsidRDefault="00243A3F" w:rsidP="00243A3F">
      <w:pPr>
        <w:widowControl w:val="0"/>
        <w:overflowPunct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D26BB">
        <w:rPr>
          <w:rFonts w:asciiTheme="minorHAnsi" w:hAnsiTheme="minorHAnsi" w:cstheme="minorHAnsi"/>
          <w:bCs/>
          <w:color w:val="000000" w:themeColor="text1"/>
          <w:sz w:val="20"/>
          <w:szCs w:val="20"/>
        </w:rPr>
        <w:t xml:space="preserve">As a result, the statutory profit after tax </w:t>
      </w:r>
      <w:r w:rsidR="002945C7" w:rsidRPr="006D26BB">
        <w:rPr>
          <w:rFonts w:asciiTheme="minorHAnsi" w:hAnsiTheme="minorHAnsi" w:cstheme="minorHAnsi"/>
          <w:bCs/>
          <w:color w:val="000000" w:themeColor="text1"/>
          <w:sz w:val="20"/>
          <w:szCs w:val="20"/>
        </w:rPr>
        <w:t>de</w:t>
      </w:r>
      <w:r w:rsidRPr="006D26BB">
        <w:rPr>
          <w:rFonts w:asciiTheme="minorHAnsi" w:hAnsiTheme="minorHAnsi" w:cstheme="minorHAnsi"/>
          <w:bCs/>
          <w:color w:val="000000" w:themeColor="text1"/>
          <w:sz w:val="20"/>
          <w:szCs w:val="20"/>
        </w:rPr>
        <w:t>creased by</w:t>
      </w:r>
      <w:r w:rsidR="006D26BB">
        <w:rPr>
          <w:rFonts w:asciiTheme="minorHAnsi" w:hAnsiTheme="minorHAnsi" w:cstheme="minorHAnsi"/>
          <w:bCs/>
          <w:color w:val="000000" w:themeColor="text1"/>
          <w:sz w:val="20"/>
          <w:szCs w:val="20"/>
        </w:rPr>
        <w:t xml:space="preserve"> </w:t>
      </w:r>
      <w:r w:rsidR="002945C7" w:rsidRPr="006D26BB">
        <w:rPr>
          <w:rFonts w:asciiTheme="minorHAnsi" w:hAnsiTheme="minorHAnsi" w:cstheme="minorHAnsi"/>
          <w:bCs/>
          <w:color w:val="000000" w:themeColor="text1"/>
          <w:sz w:val="20"/>
          <w:szCs w:val="20"/>
        </w:rPr>
        <w:t>4</w:t>
      </w:r>
      <w:r w:rsidRPr="006D26BB">
        <w:rPr>
          <w:rFonts w:asciiTheme="minorHAnsi" w:hAnsiTheme="minorHAnsi" w:cstheme="minorHAnsi"/>
          <w:bCs/>
          <w:color w:val="000000" w:themeColor="text1"/>
          <w:sz w:val="20"/>
          <w:szCs w:val="20"/>
        </w:rPr>
        <w:t>% to £</w:t>
      </w:r>
      <w:r w:rsidR="002945C7" w:rsidRPr="006D26BB">
        <w:rPr>
          <w:rFonts w:asciiTheme="minorHAnsi" w:hAnsiTheme="minorHAnsi" w:cstheme="minorHAnsi"/>
          <w:bCs/>
          <w:color w:val="000000" w:themeColor="text1"/>
          <w:sz w:val="20"/>
          <w:szCs w:val="20"/>
        </w:rPr>
        <w:t>7.3</w:t>
      </w:r>
      <w:r w:rsidRPr="006D26BB">
        <w:rPr>
          <w:rFonts w:asciiTheme="minorHAnsi" w:hAnsiTheme="minorHAnsi" w:cstheme="minorHAnsi"/>
          <w:bCs/>
          <w:color w:val="000000" w:themeColor="text1"/>
          <w:sz w:val="20"/>
          <w:szCs w:val="20"/>
        </w:rPr>
        <w:t>m (</w:t>
      </w:r>
      <w:r w:rsidR="002945C7" w:rsidRPr="006D26BB">
        <w:rPr>
          <w:rFonts w:asciiTheme="minorHAnsi" w:hAnsiTheme="minorHAnsi" w:cstheme="minorHAnsi"/>
          <w:bCs/>
          <w:color w:val="000000" w:themeColor="text1"/>
          <w:sz w:val="20"/>
          <w:szCs w:val="20"/>
        </w:rPr>
        <w:t>H1 2022</w:t>
      </w:r>
      <w:r w:rsidRPr="006D26BB">
        <w:rPr>
          <w:rFonts w:asciiTheme="minorHAnsi" w:hAnsiTheme="minorHAnsi" w:cstheme="minorHAnsi"/>
          <w:bCs/>
          <w:color w:val="000000" w:themeColor="text1"/>
          <w:sz w:val="20"/>
          <w:szCs w:val="20"/>
        </w:rPr>
        <w:t>: £7.</w:t>
      </w:r>
      <w:r w:rsidR="002945C7" w:rsidRPr="006D26BB">
        <w:rPr>
          <w:rFonts w:asciiTheme="minorHAnsi" w:hAnsiTheme="minorHAnsi" w:cstheme="minorHAnsi"/>
          <w:bCs/>
          <w:color w:val="000000" w:themeColor="text1"/>
          <w:sz w:val="20"/>
          <w:szCs w:val="20"/>
        </w:rPr>
        <w:t>6</w:t>
      </w:r>
      <w:r w:rsidRPr="006D26BB">
        <w:rPr>
          <w:rFonts w:asciiTheme="minorHAnsi" w:hAnsiTheme="minorHAnsi" w:cstheme="minorHAnsi"/>
          <w:bCs/>
          <w:color w:val="000000" w:themeColor="text1"/>
          <w:sz w:val="20"/>
          <w:szCs w:val="20"/>
        </w:rPr>
        <w:t>m).</w:t>
      </w:r>
    </w:p>
    <w:p w14:paraId="7DFBAB81" w14:textId="77777777" w:rsidR="00243A3F" w:rsidRPr="006D26BB" w:rsidRDefault="00243A3F" w:rsidP="00243A3F">
      <w:pPr>
        <w:widowControl w:val="0"/>
        <w:overflowPunct w:val="0"/>
        <w:autoSpaceDE w:val="0"/>
        <w:autoSpaceDN w:val="0"/>
        <w:adjustRightInd w:val="0"/>
        <w:spacing w:after="0" w:line="240" w:lineRule="auto"/>
        <w:jc w:val="both"/>
        <w:rPr>
          <w:rFonts w:asciiTheme="minorHAnsi" w:hAnsiTheme="minorHAnsi" w:cstheme="minorHAnsi"/>
          <w:b/>
          <w:color w:val="000000" w:themeColor="text1"/>
          <w:sz w:val="20"/>
          <w:szCs w:val="20"/>
        </w:rPr>
      </w:pPr>
    </w:p>
    <w:p w14:paraId="3AEF7929" w14:textId="77777777" w:rsidR="00243A3F" w:rsidRPr="006D26BB" w:rsidRDefault="00243A3F" w:rsidP="00243A3F">
      <w:pPr>
        <w:widowControl w:val="0"/>
        <w:overflowPunct w:val="0"/>
        <w:autoSpaceDE w:val="0"/>
        <w:autoSpaceDN w:val="0"/>
        <w:adjustRightInd w:val="0"/>
        <w:spacing w:after="0" w:line="240" w:lineRule="auto"/>
        <w:jc w:val="both"/>
        <w:rPr>
          <w:rFonts w:asciiTheme="minorHAnsi" w:hAnsiTheme="minorHAnsi" w:cstheme="minorHAnsi"/>
          <w:b/>
          <w:color w:val="000000" w:themeColor="text1"/>
          <w:sz w:val="20"/>
          <w:szCs w:val="20"/>
        </w:rPr>
      </w:pPr>
      <w:r w:rsidRPr="006D26BB">
        <w:rPr>
          <w:rFonts w:asciiTheme="minorHAnsi" w:hAnsiTheme="minorHAnsi" w:cstheme="minorHAnsi"/>
          <w:b/>
          <w:color w:val="000000" w:themeColor="text1"/>
          <w:sz w:val="20"/>
          <w:szCs w:val="20"/>
        </w:rPr>
        <w:t>Earnings per share</w:t>
      </w:r>
    </w:p>
    <w:p w14:paraId="1CED3BA9" w14:textId="4AD5F948" w:rsidR="00243A3F" w:rsidRPr="006D26BB" w:rsidRDefault="00243A3F" w:rsidP="000469A9">
      <w:pPr>
        <w:widowControl w:val="0"/>
        <w:overflowPunct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D26BB">
        <w:rPr>
          <w:rFonts w:asciiTheme="minorHAnsi" w:hAnsiTheme="minorHAnsi" w:cstheme="minorHAnsi"/>
          <w:bCs/>
          <w:color w:val="000000" w:themeColor="text1"/>
          <w:sz w:val="20"/>
          <w:szCs w:val="20"/>
        </w:rPr>
        <w:t xml:space="preserve">Although </w:t>
      </w:r>
      <w:r w:rsidR="00C25C72">
        <w:rPr>
          <w:rFonts w:asciiTheme="minorHAnsi" w:hAnsiTheme="minorHAnsi" w:cstheme="minorHAnsi"/>
          <w:bCs/>
          <w:color w:val="000000" w:themeColor="text1"/>
          <w:sz w:val="20"/>
          <w:szCs w:val="20"/>
        </w:rPr>
        <w:t>we have</w:t>
      </w:r>
      <w:r w:rsidRPr="006D26BB">
        <w:rPr>
          <w:rFonts w:asciiTheme="minorHAnsi" w:hAnsiTheme="minorHAnsi" w:cstheme="minorHAnsi"/>
          <w:bCs/>
          <w:color w:val="000000" w:themeColor="text1"/>
          <w:sz w:val="20"/>
          <w:szCs w:val="20"/>
        </w:rPr>
        <w:t xml:space="preserve"> not issued any new shares within the year, </w:t>
      </w:r>
      <w:r w:rsidR="004C3B27" w:rsidRPr="006D26BB">
        <w:rPr>
          <w:rFonts w:asciiTheme="minorHAnsi" w:hAnsiTheme="minorHAnsi" w:cstheme="minorHAnsi"/>
          <w:bCs/>
          <w:color w:val="000000" w:themeColor="text1"/>
          <w:sz w:val="20"/>
          <w:szCs w:val="20"/>
        </w:rPr>
        <w:t xml:space="preserve">the number of shares held in </w:t>
      </w:r>
      <w:r w:rsidR="00C25C72">
        <w:rPr>
          <w:rFonts w:asciiTheme="minorHAnsi" w:hAnsiTheme="minorHAnsi" w:cstheme="minorHAnsi"/>
          <w:bCs/>
          <w:color w:val="000000" w:themeColor="text1"/>
          <w:sz w:val="20"/>
          <w:szCs w:val="20"/>
        </w:rPr>
        <w:t xml:space="preserve">our </w:t>
      </w:r>
      <w:r w:rsidR="00C25C72" w:rsidRPr="00C25C72">
        <w:rPr>
          <w:rFonts w:asciiTheme="minorHAnsi" w:hAnsiTheme="minorHAnsi" w:cstheme="minorHAnsi"/>
          <w:bCs/>
          <w:color w:val="000000" w:themeColor="text1"/>
          <w:sz w:val="20"/>
          <w:szCs w:val="20"/>
        </w:rPr>
        <w:t>Employee Benefit Trust</w:t>
      </w:r>
      <w:r w:rsidR="00C25C72" w:rsidRPr="00C25C72" w:rsidDel="00C25C72">
        <w:rPr>
          <w:rFonts w:asciiTheme="minorHAnsi" w:hAnsiTheme="minorHAnsi" w:cstheme="minorHAnsi"/>
          <w:bCs/>
          <w:color w:val="000000" w:themeColor="text1"/>
          <w:sz w:val="20"/>
          <w:szCs w:val="20"/>
        </w:rPr>
        <w:t xml:space="preserve"> </w:t>
      </w:r>
      <w:r w:rsidR="004C3B27" w:rsidRPr="006D26BB">
        <w:rPr>
          <w:rFonts w:asciiTheme="minorHAnsi" w:hAnsiTheme="minorHAnsi" w:cstheme="minorHAnsi"/>
          <w:bCs/>
          <w:color w:val="000000" w:themeColor="text1"/>
          <w:sz w:val="20"/>
          <w:szCs w:val="20"/>
        </w:rPr>
        <w:t xml:space="preserve">has reduced following the successful vesting of employee share options schemes. This has resulted in the weighted average number of shares </w:t>
      </w:r>
      <w:r w:rsidR="00F451FC">
        <w:rPr>
          <w:rFonts w:asciiTheme="minorHAnsi" w:hAnsiTheme="minorHAnsi" w:cstheme="minorHAnsi"/>
          <w:bCs/>
          <w:color w:val="000000" w:themeColor="text1"/>
          <w:sz w:val="20"/>
          <w:szCs w:val="20"/>
        </w:rPr>
        <w:t>increasing</w:t>
      </w:r>
      <w:r w:rsidR="004C3B27" w:rsidRPr="006D26BB">
        <w:rPr>
          <w:rFonts w:asciiTheme="minorHAnsi" w:hAnsiTheme="minorHAnsi" w:cstheme="minorHAnsi"/>
          <w:bCs/>
          <w:color w:val="000000" w:themeColor="text1"/>
          <w:sz w:val="20"/>
          <w:szCs w:val="20"/>
        </w:rPr>
        <w:t xml:space="preserve"> 1% to 86,234,633 (31 January 2022: 85,333,766). </w:t>
      </w:r>
    </w:p>
    <w:p w14:paraId="54167F9C" w14:textId="77777777" w:rsidR="00243A3F" w:rsidRPr="006D26BB" w:rsidRDefault="00243A3F" w:rsidP="00243A3F">
      <w:pPr>
        <w:widowControl w:val="0"/>
        <w:overflowPunct w:val="0"/>
        <w:autoSpaceDE w:val="0"/>
        <w:autoSpaceDN w:val="0"/>
        <w:adjustRightInd w:val="0"/>
        <w:spacing w:after="0" w:line="240" w:lineRule="auto"/>
        <w:rPr>
          <w:rFonts w:asciiTheme="minorHAnsi" w:hAnsiTheme="minorHAnsi" w:cstheme="minorHAnsi"/>
          <w:bCs/>
          <w:color w:val="000000" w:themeColor="text1"/>
          <w:sz w:val="20"/>
          <w:szCs w:val="20"/>
        </w:rPr>
      </w:pPr>
    </w:p>
    <w:p w14:paraId="7E2A6CDE" w14:textId="77777777" w:rsidR="00243A3F" w:rsidRPr="006D26BB" w:rsidRDefault="00243A3F" w:rsidP="00243A3F">
      <w:pPr>
        <w:widowControl w:val="0"/>
        <w:overflowPunct w:val="0"/>
        <w:autoSpaceDE w:val="0"/>
        <w:autoSpaceDN w:val="0"/>
        <w:adjustRightInd w:val="0"/>
        <w:spacing w:after="0" w:line="240" w:lineRule="auto"/>
        <w:rPr>
          <w:rFonts w:asciiTheme="minorHAnsi" w:hAnsiTheme="minorHAnsi" w:cstheme="minorHAnsi"/>
          <w:bCs/>
          <w:color w:val="000000" w:themeColor="text1"/>
          <w:sz w:val="20"/>
          <w:szCs w:val="20"/>
        </w:rPr>
      </w:pPr>
    </w:p>
    <w:p w14:paraId="3C9F81C0" w14:textId="77777777" w:rsidR="00243A3F" w:rsidRPr="006D26BB" w:rsidRDefault="00243A3F" w:rsidP="00243A3F">
      <w:pPr>
        <w:widowControl w:val="0"/>
        <w:overflowPunct w:val="0"/>
        <w:autoSpaceDE w:val="0"/>
        <w:autoSpaceDN w:val="0"/>
        <w:adjustRightInd w:val="0"/>
        <w:spacing w:after="0" w:line="240" w:lineRule="auto"/>
        <w:rPr>
          <w:rFonts w:asciiTheme="minorHAnsi" w:hAnsiTheme="minorHAnsi" w:cstheme="minorHAnsi"/>
          <w:bCs/>
          <w:color w:val="000000" w:themeColor="text1"/>
          <w:sz w:val="20"/>
          <w:szCs w:val="20"/>
        </w:rPr>
      </w:pPr>
    </w:p>
    <w:tbl>
      <w:tblPr>
        <w:tblW w:w="9214" w:type="dxa"/>
        <w:tblLayout w:type="fixed"/>
        <w:tblLook w:val="04A0" w:firstRow="1" w:lastRow="0" w:firstColumn="1" w:lastColumn="0" w:noHBand="0" w:noVBand="1"/>
      </w:tblPr>
      <w:tblGrid>
        <w:gridCol w:w="4111"/>
        <w:gridCol w:w="1275"/>
        <w:gridCol w:w="1276"/>
        <w:gridCol w:w="1276"/>
        <w:gridCol w:w="1276"/>
      </w:tblGrid>
      <w:tr w:rsidR="00243A3F" w:rsidRPr="006D26BB" w14:paraId="66B9024B" w14:textId="77777777" w:rsidTr="00997EF7">
        <w:trPr>
          <w:trHeight w:val="145"/>
        </w:trPr>
        <w:tc>
          <w:tcPr>
            <w:tcW w:w="4111" w:type="dxa"/>
            <w:tcBorders>
              <w:top w:val="nil"/>
              <w:left w:val="nil"/>
              <w:bottom w:val="nil"/>
              <w:right w:val="nil"/>
            </w:tcBorders>
            <w:shd w:val="clear" w:color="000000" w:fill="FFFFFF"/>
            <w:noWrap/>
            <w:vAlign w:val="bottom"/>
            <w:hideMark/>
          </w:tcPr>
          <w:p w14:paraId="4E417B64" w14:textId="77777777" w:rsidR="00243A3F" w:rsidRPr="006D26BB" w:rsidRDefault="00243A3F" w:rsidP="005C1CFC">
            <w:pPr>
              <w:spacing w:after="0" w:line="240" w:lineRule="auto"/>
              <w:rPr>
                <w:rFonts w:asciiTheme="minorHAnsi" w:hAnsiTheme="minorHAnsi" w:cstheme="minorHAnsi"/>
                <w:b/>
                <w:color w:val="000000" w:themeColor="text1"/>
                <w:sz w:val="20"/>
                <w:szCs w:val="20"/>
              </w:rPr>
            </w:pPr>
            <w:r w:rsidRPr="006D26BB">
              <w:rPr>
                <w:rFonts w:asciiTheme="minorHAnsi" w:hAnsiTheme="minorHAnsi" w:cstheme="minorHAnsi"/>
                <w:b/>
                <w:color w:val="000000" w:themeColor="text1"/>
                <w:sz w:val="20"/>
                <w:szCs w:val="20"/>
              </w:rPr>
              <w:t> </w:t>
            </w:r>
          </w:p>
        </w:tc>
        <w:tc>
          <w:tcPr>
            <w:tcW w:w="1275" w:type="dxa"/>
            <w:tcBorders>
              <w:top w:val="nil"/>
              <w:left w:val="nil"/>
              <w:bottom w:val="nil"/>
              <w:right w:val="nil"/>
            </w:tcBorders>
            <w:shd w:val="clear" w:color="000000" w:fill="FFFFFF"/>
            <w:vAlign w:val="center"/>
            <w:hideMark/>
          </w:tcPr>
          <w:p w14:paraId="41278099" w14:textId="47805271" w:rsidR="00243A3F" w:rsidRPr="006D26BB" w:rsidRDefault="00085871" w:rsidP="00CA1244">
            <w:pPr>
              <w:spacing w:after="0" w:line="240" w:lineRule="auto"/>
              <w:jc w:val="right"/>
              <w:rPr>
                <w:rFonts w:asciiTheme="minorHAnsi" w:hAnsiTheme="minorHAnsi" w:cstheme="minorHAnsi"/>
                <w:b/>
                <w:color w:val="000000" w:themeColor="text1"/>
                <w:sz w:val="20"/>
                <w:szCs w:val="20"/>
              </w:rPr>
            </w:pPr>
            <w:r w:rsidRPr="006D26BB">
              <w:rPr>
                <w:rFonts w:asciiTheme="minorHAnsi" w:hAnsiTheme="minorHAnsi" w:cstheme="minorHAnsi"/>
                <w:b/>
                <w:color w:val="000000" w:themeColor="text1"/>
                <w:sz w:val="20"/>
                <w:szCs w:val="20"/>
              </w:rPr>
              <w:t>H1 20</w:t>
            </w:r>
            <w:r w:rsidR="00243A3F" w:rsidRPr="006D26BB">
              <w:rPr>
                <w:rFonts w:asciiTheme="minorHAnsi" w:hAnsiTheme="minorHAnsi" w:cstheme="minorHAnsi"/>
                <w:b/>
                <w:color w:val="000000" w:themeColor="text1"/>
                <w:sz w:val="20"/>
                <w:szCs w:val="20"/>
              </w:rPr>
              <w:t>2</w:t>
            </w:r>
            <w:r w:rsidRPr="006D26BB">
              <w:rPr>
                <w:rFonts w:asciiTheme="minorHAnsi" w:hAnsiTheme="minorHAnsi" w:cstheme="minorHAnsi"/>
                <w:b/>
                <w:color w:val="000000" w:themeColor="text1"/>
                <w:sz w:val="20"/>
                <w:szCs w:val="20"/>
              </w:rPr>
              <w:t>3</w:t>
            </w:r>
          </w:p>
        </w:tc>
        <w:tc>
          <w:tcPr>
            <w:tcW w:w="1276" w:type="dxa"/>
            <w:tcBorders>
              <w:top w:val="nil"/>
              <w:left w:val="nil"/>
              <w:bottom w:val="nil"/>
              <w:right w:val="nil"/>
            </w:tcBorders>
            <w:shd w:val="clear" w:color="000000" w:fill="FFFFFF"/>
            <w:vAlign w:val="center"/>
            <w:hideMark/>
          </w:tcPr>
          <w:p w14:paraId="237D3C2F" w14:textId="77777777" w:rsidR="00243A3F" w:rsidRPr="006D26BB" w:rsidRDefault="00243A3F" w:rsidP="00CA1244">
            <w:pPr>
              <w:spacing w:after="0" w:line="240" w:lineRule="auto"/>
              <w:jc w:val="right"/>
              <w:rPr>
                <w:rFonts w:asciiTheme="minorHAnsi" w:hAnsiTheme="minorHAnsi" w:cstheme="minorHAnsi"/>
                <w:b/>
                <w:color w:val="000000" w:themeColor="text1"/>
                <w:sz w:val="20"/>
                <w:szCs w:val="20"/>
              </w:rPr>
            </w:pPr>
            <w:r w:rsidRPr="006D26BB">
              <w:rPr>
                <w:rFonts w:asciiTheme="minorHAnsi" w:hAnsiTheme="minorHAnsi" w:cstheme="minorHAnsi"/>
                <w:b/>
                <w:color w:val="000000" w:themeColor="text1"/>
                <w:sz w:val="20"/>
                <w:szCs w:val="20"/>
              </w:rPr>
              <w:t>EPS</w:t>
            </w:r>
          </w:p>
        </w:tc>
        <w:tc>
          <w:tcPr>
            <w:tcW w:w="1276" w:type="dxa"/>
            <w:tcBorders>
              <w:top w:val="nil"/>
              <w:left w:val="nil"/>
              <w:bottom w:val="nil"/>
              <w:right w:val="nil"/>
            </w:tcBorders>
            <w:shd w:val="clear" w:color="000000" w:fill="FFFFFF"/>
            <w:vAlign w:val="center"/>
            <w:hideMark/>
          </w:tcPr>
          <w:p w14:paraId="167A9F4F" w14:textId="6E7F6C0F" w:rsidR="00243A3F" w:rsidRPr="006D26BB" w:rsidRDefault="00085871" w:rsidP="00CA1244">
            <w:pPr>
              <w:spacing w:after="0" w:line="240" w:lineRule="auto"/>
              <w:jc w:val="right"/>
              <w:rPr>
                <w:rFonts w:asciiTheme="minorHAnsi" w:hAnsiTheme="minorHAnsi" w:cstheme="minorHAnsi"/>
                <w:b/>
                <w:color w:val="000000" w:themeColor="text1"/>
                <w:sz w:val="20"/>
                <w:szCs w:val="20"/>
              </w:rPr>
            </w:pPr>
            <w:r w:rsidRPr="006D26BB">
              <w:rPr>
                <w:rFonts w:asciiTheme="minorHAnsi" w:hAnsiTheme="minorHAnsi" w:cstheme="minorHAnsi"/>
                <w:b/>
                <w:color w:val="000000" w:themeColor="text1"/>
                <w:sz w:val="20"/>
                <w:szCs w:val="20"/>
              </w:rPr>
              <w:t>H1 2022</w:t>
            </w:r>
          </w:p>
        </w:tc>
        <w:tc>
          <w:tcPr>
            <w:tcW w:w="1276" w:type="dxa"/>
            <w:tcBorders>
              <w:top w:val="nil"/>
              <w:left w:val="nil"/>
              <w:bottom w:val="nil"/>
              <w:right w:val="nil"/>
            </w:tcBorders>
            <w:shd w:val="clear" w:color="000000" w:fill="FFFFFF"/>
            <w:vAlign w:val="center"/>
            <w:hideMark/>
          </w:tcPr>
          <w:p w14:paraId="793E5111" w14:textId="77777777" w:rsidR="00243A3F" w:rsidRPr="006D26BB" w:rsidRDefault="00243A3F" w:rsidP="00CA1244">
            <w:pPr>
              <w:spacing w:after="0" w:line="240" w:lineRule="auto"/>
              <w:jc w:val="right"/>
              <w:rPr>
                <w:rFonts w:asciiTheme="minorHAnsi" w:hAnsiTheme="minorHAnsi" w:cstheme="minorHAnsi"/>
                <w:b/>
                <w:color w:val="000000" w:themeColor="text1"/>
                <w:sz w:val="20"/>
                <w:szCs w:val="20"/>
              </w:rPr>
            </w:pPr>
            <w:r w:rsidRPr="006D26BB">
              <w:rPr>
                <w:rFonts w:asciiTheme="minorHAnsi" w:hAnsiTheme="minorHAnsi" w:cstheme="minorHAnsi"/>
                <w:b/>
                <w:color w:val="000000" w:themeColor="text1"/>
                <w:sz w:val="20"/>
                <w:szCs w:val="20"/>
              </w:rPr>
              <w:t>EPS</w:t>
            </w:r>
          </w:p>
        </w:tc>
      </w:tr>
      <w:tr w:rsidR="00243A3F" w:rsidRPr="006D26BB" w14:paraId="21590AFD" w14:textId="77777777" w:rsidTr="00997EF7">
        <w:trPr>
          <w:trHeight w:val="145"/>
        </w:trPr>
        <w:tc>
          <w:tcPr>
            <w:tcW w:w="4111" w:type="dxa"/>
            <w:tcBorders>
              <w:top w:val="nil"/>
              <w:left w:val="nil"/>
              <w:bottom w:val="single" w:sz="8" w:space="0" w:color="auto"/>
              <w:right w:val="nil"/>
            </w:tcBorders>
            <w:shd w:val="clear" w:color="000000" w:fill="FFFFFF"/>
            <w:noWrap/>
            <w:vAlign w:val="bottom"/>
            <w:hideMark/>
          </w:tcPr>
          <w:p w14:paraId="6299E0AB" w14:textId="77777777" w:rsidR="00243A3F" w:rsidRPr="006D26BB" w:rsidRDefault="00243A3F" w:rsidP="005C1CFC">
            <w:pPr>
              <w:spacing w:after="0" w:line="240" w:lineRule="auto"/>
              <w:rPr>
                <w:rFonts w:asciiTheme="minorHAnsi" w:hAnsiTheme="minorHAnsi" w:cstheme="minorHAnsi"/>
                <w:b/>
                <w:color w:val="000000" w:themeColor="text1"/>
                <w:sz w:val="20"/>
                <w:szCs w:val="20"/>
              </w:rPr>
            </w:pPr>
            <w:r w:rsidRPr="006D26BB">
              <w:rPr>
                <w:rFonts w:asciiTheme="minorHAnsi" w:hAnsiTheme="minorHAnsi" w:cstheme="minorHAnsi"/>
                <w:b/>
                <w:color w:val="000000" w:themeColor="text1"/>
                <w:sz w:val="20"/>
                <w:szCs w:val="20"/>
              </w:rPr>
              <w:t> </w:t>
            </w:r>
          </w:p>
        </w:tc>
        <w:tc>
          <w:tcPr>
            <w:tcW w:w="1275" w:type="dxa"/>
            <w:tcBorders>
              <w:top w:val="nil"/>
              <w:left w:val="nil"/>
              <w:bottom w:val="single" w:sz="8" w:space="0" w:color="auto"/>
              <w:right w:val="nil"/>
            </w:tcBorders>
            <w:shd w:val="clear" w:color="000000" w:fill="FFFFFF"/>
            <w:vAlign w:val="center"/>
            <w:hideMark/>
          </w:tcPr>
          <w:p w14:paraId="444CEFC4" w14:textId="77777777" w:rsidR="00243A3F" w:rsidRPr="006D26BB" w:rsidRDefault="00243A3F" w:rsidP="00CA1244">
            <w:pPr>
              <w:spacing w:after="0" w:line="240" w:lineRule="auto"/>
              <w:jc w:val="right"/>
              <w:rPr>
                <w:rFonts w:asciiTheme="minorHAnsi" w:hAnsiTheme="minorHAnsi" w:cstheme="minorHAnsi"/>
                <w:b/>
                <w:color w:val="000000" w:themeColor="text1"/>
                <w:sz w:val="20"/>
                <w:szCs w:val="20"/>
              </w:rPr>
            </w:pPr>
            <w:r w:rsidRPr="006D26BB">
              <w:rPr>
                <w:rFonts w:asciiTheme="minorHAnsi" w:hAnsiTheme="minorHAnsi" w:cstheme="minorHAnsi"/>
                <w:b/>
                <w:color w:val="000000" w:themeColor="text1"/>
                <w:sz w:val="20"/>
                <w:szCs w:val="20"/>
              </w:rPr>
              <w:t>£’000</w:t>
            </w:r>
          </w:p>
        </w:tc>
        <w:tc>
          <w:tcPr>
            <w:tcW w:w="1276" w:type="dxa"/>
            <w:tcBorders>
              <w:top w:val="nil"/>
              <w:left w:val="nil"/>
              <w:bottom w:val="single" w:sz="8" w:space="0" w:color="auto"/>
              <w:right w:val="nil"/>
            </w:tcBorders>
            <w:shd w:val="clear" w:color="000000" w:fill="FFFFFF"/>
            <w:vAlign w:val="center"/>
            <w:hideMark/>
          </w:tcPr>
          <w:p w14:paraId="5696FE67" w14:textId="77777777" w:rsidR="00243A3F" w:rsidRPr="006D26BB" w:rsidRDefault="00243A3F" w:rsidP="00CA1244">
            <w:pPr>
              <w:spacing w:after="0" w:line="240" w:lineRule="auto"/>
              <w:jc w:val="right"/>
              <w:rPr>
                <w:rFonts w:asciiTheme="minorHAnsi" w:hAnsiTheme="minorHAnsi" w:cstheme="minorHAnsi"/>
                <w:b/>
                <w:color w:val="000000" w:themeColor="text1"/>
                <w:sz w:val="20"/>
                <w:szCs w:val="20"/>
              </w:rPr>
            </w:pPr>
            <w:r w:rsidRPr="006D26BB">
              <w:rPr>
                <w:rFonts w:asciiTheme="minorHAnsi" w:hAnsiTheme="minorHAnsi" w:cstheme="minorHAnsi"/>
                <w:b/>
                <w:color w:val="000000" w:themeColor="text1"/>
                <w:sz w:val="20"/>
                <w:szCs w:val="20"/>
              </w:rPr>
              <w:t>p</w:t>
            </w:r>
          </w:p>
        </w:tc>
        <w:tc>
          <w:tcPr>
            <w:tcW w:w="1276" w:type="dxa"/>
            <w:tcBorders>
              <w:top w:val="nil"/>
              <w:left w:val="nil"/>
              <w:bottom w:val="single" w:sz="8" w:space="0" w:color="auto"/>
              <w:right w:val="nil"/>
            </w:tcBorders>
            <w:shd w:val="clear" w:color="000000" w:fill="FFFFFF"/>
            <w:vAlign w:val="center"/>
            <w:hideMark/>
          </w:tcPr>
          <w:p w14:paraId="79AAAB34" w14:textId="77777777" w:rsidR="00243A3F" w:rsidRPr="006D26BB" w:rsidRDefault="00243A3F" w:rsidP="00CA1244">
            <w:pPr>
              <w:spacing w:after="0" w:line="240" w:lineRule="auto"/>
              <w:jc w:val="right"/>
              <w:rPr>
                <w:rFonts w:asciiTheme="minorHAnsi" w:hAnsiTheme="minorHAnsi" w:cstheme="minorHAnsi"/>
                <w:b/>
                <w:color w:val="000000" w:themeColor="text1"/>
                <w:sz w:val="20"/>
                <w:szCs w:val="20"/>
              </w:rPr>
            </w:pPr>
            <w:r w:rsidRPr="006D26BB">
              <w:rPr>
                <w:rFonts w:asciiTheme="minorHAnsi" w:hAnsiTheme="minorHAnsi" w:cstheme="minorHAnsi"/>
                <w:b/>
                <w:color w:val="000000" w:themeColor="text1"/>
                <w:sz w:val="20"/>
                <w:szCs w:val="20"/>
              </w:rPr>
              <w:t>£’000</w:t>
            </w:r>
          </w:p>
        </w:tc>
        <w:tc>
          <w:tcPr>
            <w:tcW w:w="1276" w:type="dxa"/>
            <w:tcBorders>
              <w:top w:val="nil"/>
              <w:left w:val="nil"/>
              <w:bottom w:val="single" w:sz="8" w:space="0" w:color="auto"/>
              <w:right w:val="nil"/>
            </w:tcBorders>
            <w:shd w:val="clear" w:color="000000" w:fill="FFFFFF"/>
            <w:vAlign w:val="center"/>
            <w:hideMark/>
          </w:tcPr>
          <w:p w14:paraId="2376D869" w14:textId="77777777" w:rsidR="00243A3F" w:rsidRPr="006D26BB" w:rsidRDefault="00243A3F" w:rsidP="00CA1244">
            <w:pPr>
              <w:spacing w:after="0" w:line="240" w:lineRule="auto"/>
              <w:jc w:val="right"/>
              <w:rPr>
                <w:rFonts w:asciiTheme="minorHAnsi" w:hAnsiTheme="minorHAnsi" w:cstheme="minorHAnsi"/>
                <w:b/>
                <w:color w:val="000000" w:themeColor="text1"/>
                <w:sz w:val="20"/>
                <w:szCs w:val="20"/>
              </w:rPr>
            </w:pPr>
            <w:r w:rsidRPr="006D26BB">
              <w:rPr>
                <w:rFonts w:asciiTheme="minorHAnsi" w:hAnsiTheme="minorHAnsi" w:cstheme="minorHAnsi"/>
                <w:b/>
                <w:color w:val="000000" w:themeColor="text1"/>
                <w:sz w:val="20"/>
                <w:szCs w:val="20"/>
              </w:rPr>
              <w:t>p</w:t>
            </w:r>
          </w:p>
        </w:tc>
      </w:tr>
      <w:tr w:rsidR="00A13EC0" w:rsidRPr="006D26BB" w14:paraId="24DC6FE2" w14:textId="77777777" w:rsidTr="00997EF7">
        <w:trPr>
          <w:trHeight w:val="145"/>
        </w:trPr>
        <w:tc>
          <w:tcPr>
            <w:tcW w:w="4111" w:type="dxa"/>
            <w:tcBorders>
              <w:top w:val="nil"/>
              <w:left w:val="nil"/>
              <w:bottom w:val="single" w:sz="8" w:space="0" w:color="auto"/>
              <w:right w:val="nil"/>
            </w:tcBorders>
            <w:shd w:val="clear" w:color="000000" w:fill="FFFFFF"/>
            <w:noWrap/>
            <w:vAlign w:val="center"/>
            <w:hideMark/>
          </w:tcPr>
          <w:p w14:paraId="70075364" w14:textId="77777777" w:rsidR="00A13EC0" w:rsidRPr="006D26BB" w:rsidRDefault="00A13EC0" w:rsidP="00A13EC0">
            <w:pPr>
              <w:spacing w:after="0" w:line="240" w:lineRule="auto"/>
              <w:rPr>
                <w:rFonts w:asciiTheme="minorHAnsi" w:hAnsiTheme="minorHAnsi" w:cstheme="minorHAnsi"/>
                <w:bCs/>
                <w:color w:val="000000" w:themeColor="text1"/>
                <w:sz w:val="20"/>
                <w:szCs w:val="20"/>
              </w:rPr>
            </w:pPr>
            <w:r w:rsidRPr="006D26BB">
              <w:rPr>
                <w:rFonts w:asciiTheme="minorHAnsi" w:hAnsiTheme="minorHAnsi" w:cstheme="minorHAnsi"/>
                <w:bCs/>
                <w:color w:val="000000" w:themeColor="text1"/>
                <w:sz w:val="20"/>
                <w:szCs w:val="20"/>
              </w:rPr>
              <w:t>Adjusted profit after tax / Adjusted EPS</w:t>
            </w:r>
          </w:p>
        </w:tc>
        <w:tc>
          <w:tcPr>
            <w:tcW w:w="1275" w:type="dxa"/>
            <w:tcBorders>
              <w:top w:val="nil"/>
              <w:left w:val="nil"/>
              <w:bottom w:val="single" w:sz="8" w:space="0" w:color="auto"/>
              <w:right w:val="nil"/>
            </w:tcBorders>
            <w:shd w:val="clear" w:color="000000" w:fill="FFFFFF"/>
            <w:vAlign w:val="center"/>
          </w:tcPr>
          <w:p w14:paraId="6417081B" w14:textId="45582283" w:rsidR="00A13EC0" w:rsidRPr="006D26BB" w:rsidRDefault="00A13EC0" w:rsidP="00A13EC0">
            <w:pPr>
              <w:spacing w:after="0" w:line="240" w:lineRule="auto"/>
              <w:jc w:val="right"/>
              <w:rPr>
                <w:rFonts w:asciiTheme="minorHAnsi" w:hAnsiTheme="minorHAnsi" w:cstheme="minorHAnsi"/>
                <w:bCs/>
                <w:color w:val="000000" w:themeColor="text1"/>
                <w:sz w:val="20"/>
                <w:szCs w:val="20"/>
              </w:rPr>
            </w:pPr>
            <w:r>
              <w:rPr>
                <w:rFonts w:asciiTheme="minorHAnsi" w:hAnsiTheme="minorHAnsi" w:cstheme="minorHAnsi"/>
                <w:color w:val="000000"/>
                <w:sz w:val="20"/>
                <w:szCs w:val="20"/>
              </w:rPr>
              <w:t>7,379</w:t>
            </w:r>
          </w:p>
        </w:tc>
        <w:tc>
          <w:tcPr>
            <w:tcW w:w="1276" w:type="dxa"/>
            <w:tcBorders>
              <w:top w:val="nil"/>
              <w:left w:val="nil"/>
              <w:bottom w:val="single" w:sz="8" w:space="0" w:color="auto"/>
              <w:right w:val="nil"/>
            </w:tcBorders>
            <w:shd w:val="clear" w:color="000000" w:fill="FFFFFF"/>
            <w:vAlign w:val="center"/>
          </w:tcPr>
          <w:p w14:paraId="629ED97C" w14:textId="6130C89D" w:rsidR="00A13EC0" w:rsidRPr="006D26BB" w:rsidRDefault="00A13EC0" w:rsidP="00A13EC0">
            <w:pPr>
              <w:spacing w:after="0" w:line="240" w:lineRule="auto"/>
              <w:jc w:val="right"/>
              <w:rPr>
                <w:rFonts w:asciiTheme="minorHAnsi" w:hAnsiTheme="minorHAnsi" w:cstheme="minorHAnsi"/>
                <w:bCs/>
                <w:color w:val="000000" w:themeColor="text1"/>
                <w:sz w:val="20"/>
                <w:szCs w:val="20"/>
              </w:rPr>
            </w:pPr>
            <w:r>
              <w:rPr>
                <w:rFonts w:asciiTheme="minorHAnsi" w:hAnsiTheme="minorHAnsi" w:cstheme="minorHAnsi"/>
                <w:color w:val="000000"/>
                <w:sz w:val="20"/>
                <w:szCs w:val="20"/>
              </w:rPr>
              <w:t>8.56</w:t>
            </w:r>
          </w:p>
        </w:tc>
        <w:tc>
          <w:tcPr>
            <w:tcW w:w="1276" w:type="dxa"/>
            <w:tcBorders>
              <w:top w:val="nil"/>
              <w:left w:val="nil"/>
              <w:bottom w:val="single" w:sz="8" w:space="0" w:color="auto"/>
              <w:right w:val="nil"/>
            </w:tcBorders>
            <w:shd w:val="clear" w:color="000000" w:fill="FFFFFF"/>
            <w:vAlign w:val="center"/>
          </w:tcPr>
          <w:p w14:paraId="030A568C" w14:textId="51F5F8E3" w:rsidR="00A13EC0" w:rsidRPr="006D26BB" w:rsidRDefault="00A13EC0" w:rsidP="00A13EC0">
            <w:pPr>
              <w:spacing w:after="0" w:line="240" w:lineRule="auto"/>
              <w:jc w:val="right"/>
              <w:rPr>
                <w:rFonts w:asciiTheme="minorHAnsi" w:hAnsiTheme="minorHAnsi" w:cstheme="minorHAnsi"/>
                <w:bCs/>
                <w:color w:val="000000" w:themeColor="text1"/>
                <w:sz w:val="20"/>
                <w:szCs w:val="20"/>
              </w:rPr>
            </w:pPr>
            <w:r w:rsidRPr="006D26BB">
              <w:rPr>
                <w:rFonts w:asciiTheme="minorHAnsi" w:hAnsiTheme="minorHAnsi" w:cstheme="minorHAnsi"/>
                <w:color w:val="000000"/>
                <w:sz w:val="20"/>
                <w:szCs w:val="20"/>
              </w:rPr>
              <w:t>7,737</w:t>
            </w:r>
          </w:p>
        </w:tc>
        <w:tc>
          <w:tcPr>
            <w:tcW w:w="1276" w:type="dxa"/>
            <w:tcBorders>
              <w:top w:val="nil"/>
              <w:left w:val="nil"/>
              <w:bottom w:val="single" w:sz="8" w:space="0" w:color="auto"/>
              <w:right w:val="nil"/>
            </w:tcBorders>
            <w:shd w:val="clear" w:color="000000" w:fill="FFFFFF"/>
            <w:vAlign w:val="center"/>
          </w:tcPr>
          <w:p w14:paraId="3EA6ECEF" w14:textId="6459FA46" w:rsidR="00A13EC0" w:rsidRPr="006D26BB" w:rsidRDefault="00A13EC0" w:rsidP="00A13EC0">
            <w:pPr>
              <w:spacing w:after="0" w:line="240" w:lineRule="auto"/>
              <w:jc w:val="right"/>
              <w:rPr>
                <w:rFonts w:asciiTheme="minorHAnsi" w:hAnsiTheme="minorHAnsi" w:cstheme="minorHAnsi"/>
                <w:bCs/>
                <w:color w:val="000000" w:themeColor="text1"/>
                <w:sz w:val="20"/>
                <w:szCs w:val="20"/>
              </w:rPr>
            </w:pPr>
            <w:r w:rsidRPr="006D26BB">
              <w:rPr>
                <w:rFonts w:asciiTheme="minorHAnsi" w:hAnsiTheme="minorHAnsi" w:cstheme="minorHAnsi"/>
                <w:color w:val="000000"/>
                <w:sz w:val="20"/>
                <w:szCs w:val="20"/>
              </w:rPr>
              <w:t>9.07</w:t>
            </w:r>
          </w:p>
        </w:tc>
      </w:tr>
      <w:tr w:rsidR="00A13EC0" w:rsidRPr="006D26BB" w14:paraId="1CAFBE20" w14:textId="77777777" w:rsidTr="00997EF7">
        <w:trPr>
          <w:trHeight w:val="136"/>
        </w:trPr>
        <w:tc>
          <w:tcPr>
            <w:tcW w:w="4111" w:type="dxa"/>
            <w:tcBorders>
              <w:top w:val="nil"/>
              <w:left w:val="nil"/>
              <w:bottom w:val="nil"/>
              <w:right w:val="nil"/>
            </w:tcBorders>
            <w:shd w:val="clear" w:color="000000" w:fill="FFFFFF"/>
            <w:noWrap/>
            <w:vAlign w:val="center"/>
            <w:hideMark/>
          </w:tcPr>
          <w:p w14:paraId="37BD0087" w14:textId="77777777" w:rsidR="00A13EC0" w:rsidRPr="006D26BB" w:rsidRDefault="00A13EC0" w:rsidP="00A13EC0">
            <w:pPr>
              <w:spacing w:after="0" w:line="240" w:lineRule="auto"/>
              <w:rPr>
                <w:rFonts w:asciiTheme="minorHAnsi" w:hAnsiTheme="minorHAnsi" w:cstheme="minorHAnsi"/>
                <w:bCs/>
                <w:color w:val="000000" w:themeColor="text1"/>
                <w:sz w:val="20"/>
                <w:szCs w:val="20"/>
              </w:rPr>
            </w:pPr>
            <w:r w:rsidRPr="006D26BB">
              <w:rPr>
                <w:rFonts w:asciiTheme="minorHAnsi" w:hAnsiTheme="minorHAnsi" w:cstheme="minorHAnsi"/>
                <w:bCs/>
                <w:color w:val="000000" w:themeColor="text1"/>
                <w:sz w:val="20"/>
                <w:szCs w:val="20"/>
              </w:rPr>
              <w:t>Share-based payment expense</w:t>
            </w:r>
          </w:p>
        </w:tc>
        <w:tc>
          <w:tcPr>
            <w:tcW w:w="1275" w:type="dxa"/>
            <w:tcBorders>
              <w:top w:val="nil"/>
              <w:left w:val="nil"/>
              <w:bottom w:val="nil"/>
              <w:right w:val="nil"/>
            </w:tcBorders>
            <w:shd w:val="clear" w:color="000000" w:fill="FFFFFF"/>
            <w:noWrap/>
            <w:vAlign w:val="center"/>
          </w:tcPr>
          <w:p w14:paraId="68CA0332" w14:textId="278D24C0" w:rsidR="00A13EC0" w:rsidRPr="006D26BB" w:rsidRDefault="00A13EC0" w:rsidP="00A13EC0">
            <w:pPr>
              <w:spacing w:after="0" w:line="240" w:lineRule="auto"/>
              <w:jc w:val="right"/>
              <w:rPr>
                <w:rFonts w:asciiTheme="minorHAnsi" w:hAnsiTheme="minorHAnsi" w:cstheme="minorHAnsi"/>
                <w:bCs/>
                <w:color w:val="000000" w:themeColor="text1"/>
                <w:sz w:val="20"/>
                <w:szCs w:val="20"/>
              </w:rPr>
            </w:pPr>
            <w:r>
              <w:rPr>
                <w:rFonts w:asciiTheme="minorHAnsi" w:hAnsiTheme="minorHAnsi" w:cstheme="minorHAnsi"/>
                <w:color w:val="000000"/>
                <w:sz w:val="20"/>
                <w:szCs w:val="20"/>
              </w:rPr>
              <w:t>(128)</w:t>
            </w:r>
          </w:p>
        </w:tc>
        <w:tc>
          <w:tcPr>
            <w:tcW w:w="1276" w:type="dxa"/>
            <w:tcBorders>
              <w:top w:val="nil"/>
              <w:left w:val="nil"/>
              <w:bottom w:val="nil"/>
              <w:right w:val="nil"/>
            </w:tcBorders>
            <w:shd w:val="clear" w:color="000000" w:fill="FFFFFF"/>
            <w:noWrap/>
            <w:vAlign w:val="center"/>
          </w:tcPr>
          <w:p w14:paraId="28E9924C" w14:textId="6CC79AEF" w:rsidR="00A13EC0" w:rsidRPr="006D26BB" w:rsidRDefault="00A13EC0" w:rsidP="00A13EC0">
            <w:pPr>
              <w:spacing w:after="0" w:line="240" w:lineRule="auto"/>
              <w:jc w:val="right"/>
              <w:rPr>
                <w:rFonts w:asciiTheme="minorHAnsi" w:hAnsiTheme="minorHAnsi" w:cstheme="minorHAnsi"/>
                <w:bCs/>
                <w:color w:val="000000" w:themeColor="text1"/>
                <w:sz w:val="20"/>
                <w:szCs w:val="20"/>
              </w:rPr>
            </w:pPr>
            <w:r>
              <w:rPr>
                <w:rFonts w:asciiTheme="minorHAnsi" w:hAnsiTheme="minorHAnsi" w:cstheme="minorHAnsi"/>
                <w:color w:val="000000"/>
                <w:sz w:val="20"/>
                <w:szCs w:val="20"/>
              </w:rPr>
              <w:t>(0.15)</w:t>
            </w:r>
          </w:p>
        </w:tc>
        <w:tc>
          <w:tcPr>
            <w:tcW w:w="1276" w:type="dxa"/>
            <w:tcBorders>
              <w:top w:val="nil"/>
              <w:left w:val="nil"/>
              <w:bottom w:val="nil"/>
              <w:right w:val="nil"/>
            </w:tcBorders>
            <w:shd w:val="clear" w:color="000000" w:fill="FFFFFF"/>
            <w:noWrap/>
            <w:vAlign w:val="center"/>
          </w:tcPr>
          <w:p w14:paraId="239E2E20" w14:textId="6D729605" w:rsidR="00A13EC0" w:rsidRPr="006D26BB" w:rsidRDefault="00A13EC0" w:rsidP="00A13EC0">
            <w:pPr>
              <w:spacing w:after="0" w:line="240" w:lineRule="auto"/>
              <w:jc w:val="right"/>
              <w:rPr>
                <w:rFonts w:asciiTheme="minorHAnsi" w:hAnsiTheme="minorHAnsi" w:cstheme="minorHAnsi"/>
                <w:bCs/>
                <w:color w:val="000000" w:themeColor="text1"/>
                <w:sz w:val="20"/>
                <w:szCs w:val="20"/>
              </w:rPr>
            </w:pPr>
            <w:r w:rsidRPr="006D26BB">
              <w:rPr>
                <w:rFonts w:asciiTheme="minorHAnsi" w:hAnsiTheme="minorHAnsi" w:cstheme="minorHAnsi"/>
                <w:color w:val="000000"/>
                <w:sz w:val="20"/>
                <w:szCs w:val="20"/>
              </w:rPr>
              <w:t>(144)</w:t>
            </w:r>
          </w:p>
        </w:tc>
        <w:tc>
          <w:tcPr>
            <w:tcW w:w="1276" w:type="dxa"/>
            <w:tcBorders>
              <w:top w:val="nil"/>
              <w:left w:val="nil"/>
              <w:bottom w:val="nil"/>
              <w:right w:val="nil"/>
            </w:tcBorders>
            <w:shd w:val="clear" w:color="000000" w:fill="FFFFFF"/>
            <w:noWrap/>
            <w:vAlign w:val="center"/>
          </w:tcPr>
          <w:p w14:paraId="065C442A" w14:textId="5FF21CAD" w:rsidR="00A13EC0" w:rsidRPr="006D26BB" w:rsidRDefault="00A13EC0" w:rsidP="00A13EC0">
            <w:pPr>
              <w:spacing w:after="0" w:line="240" w:lineRule="auto"/>
              <w:jc w:val="right"/>
              <w:rPr>
                <w:rFonts w:asciiTheme="minorHAnsi" w:hAnsiTheme="minorHAnsi" w:cstheme="minorHAnsi"/>
                <w:bCs/>
                <w:color w:val="000000" w:themeColor="text1"/>
                <w:sz w:val="20"/>
                <w:szCs w:val="20"/>
              </w:rPr>
            </w:pPr>
            <w:r w:rsidRPr="006D26BB">
              <w:rPr>
                <w:rFonts w:asciiTheme="minorHAnsi" w:hAnsiTheme="minorHAnsi" w:cstheme="minorHAnsi"/>
                <w:color w:val="000000"/>
                <w:sz w:val="20"/>
                <w:szCs w:val="20"/>
              </w:rPr>
              <w:t>(0.17)</w:t>
            </w:r>
          </w:p>
        </w:tc>
      </w:tr>
      <w:tr w:rsidR="00A13EC0" w:rsidRPr="006D26BB" w14:paraId="75A3FD5C" w14:textId="77777777" w:rsidTr="00997EF7">
        <w:trPr>
          <w:trHeight w:val="145"/>
        </w:trPr>
        <w:tc>
          <w:tcPr>
            <w:tcW w:w="4111" w:type="dxa"/>
            <w:tcBorders>
              <w:top w:val="nil"/>
              <w:left w:val="nil"/>
              <w:bottom w:val="single" w:sz="8" w:space="0" w:color="auto"/>
              <w:right w:val="nil"/>
            </w:tcBorders>
            <w:shd w:val="clear" w:color="000000" w:fill="FFFFFF"/>
            <w:noWrap/>
            <w:vAlign w:val="bottom"/>
            <w:hideMark/>
          </w:tcPr>
          <w:p w14:paraId="77D09E24" w14:textId="77777777" w:rsidR="00A13EC0" w:rsidRPr="006D26BB" w:rsidRDefault="00A13EC0" w:rsidP="00A13EC0">
            <w:pPr>
              <w:spacing w:after="0" w:line="240" w:lineRule="auto"/>
              <w:rPr>
                <w:rFonts w:asciiTheme="minorHAnsi" w:hAnsiTheme="minorHAnsi" w:cstheme="minorHAnsi"/>
                <w:bCs/>
                <w:color w:val="000000" w:themeColor="text1"/>
                <w:sz w:val="20"/>
                <w:szCs w:val="20"/>
              </w:rPr>
            </w:pPr>
            <w:r w:rsidRPr="006D26BB">
              <w:rPr>
                <w:rFonts w:asciiTheme="minorHAnsi" w:hAnsiTheme="minorHAnsi" w:cstheme="minorHAnsi"/>
                <w:bCs/>
                <w:color w:val="000000" w:themeColor="text1"/>
                <w:sz w:val="20"/>
                <w:szCs w:val="20"/>
              </w:rPr>
              <w:t>Tax on adjusting items</w:t>
            </w:r>
          </w:p>
        </w:tc>
        <w:tc>
          <w:tcPr>
            <w:tcW w:w="1275" w:type="dxa"/>
            <w:tcBorders>
              <w:top w:val="nil"/>
              <w:left w:val="nil"/>
              <w:bottom w:val="nil"/>
              <w:right w:val="nil"/>
            </w:tcBorders>
            <w:shd w:val="clear" w:color="000000" w:fill="FFFFFF"/>
            <w:noWrap/>
            <w:vAlign w:val="center"/>
          </w:tcPr>
          <w:p w14:paraId="194FB64E" w14:textId="408FC413" w:rsidR="00A13EC0" w:rsidRPr="006D26BB" w:rsidRDefault="00A13EC0" w:rsidP="00A13EC0">
            <w:pPr>
              <w:spacing w:after="0" w:line="240" w:lineRule="auto"/>
              <w:jc w:val="right"/>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29</w:t>
            </w:r>
          </w:p>
        </w:tc>
        <w:tc>
          <w:tcPr>
            <w:tcW w:w="1276" w:type="dxa"/>
            <w:tcBorders>
              <w:top w:val="nil"/>
              <w:left w:val="nil"/>
              <w:bottom w:val="nil"/>
              <w:right w:val="nil"/>
            </w:tcBorders>
            <w:shd w:val="clear" w:color="000000" w:fill="FFFFFF"/>
            <w:noWrap/>
            <w:vAlign w:val="center"/>
          </w:tcPr>
          <w:p w14:paraId="22117F1E" w14:textId="6661F37A" w:rsidR="00A13EC0" w:rsidRPr="006D26BB" w:rsidRDefault="00A13EC0" w:rsidP="00A13EC0">
            <w:pPr>
              <w:spacing w:after="0" w:line="240" w:lineRule="auto"/>
              <w:jc w:val="right"/>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0.03</w:t>
            </w:r>
          </w:p>
        </w:tc>
        <w:tc>
          <w:tcPr>
            <w:tcW w:w="1276" w:type="dxa"/>
            <w:tcBorders>
              <w:top w:val="nil"/>
              <w:left w:val="nil"/>
              <w:bottom w:val="nil"/>
              <w:right w:val="nil"/>
            </w:tcBorders>
            <w:shd w:val="clear" w:color="000000" w:fill="FFFFFF"/>
            <w:noWrap/>
            <w:vAlign w:val="center"/>
          </w:tcPr>
          <w:p w14:paraId="14465EE5" w14:textId="312B9E32" w:rsidR="00A13EC0" w:rsidRPr="006D26BB" w:rsidRDefault="00A13EC0" w:rsidP="00A13EC0">
            <w:pPr>
              <w:spacing w:after="0" w:line="240" w:lineRule="auto"/>
              <w:jc w:val="right"/>
              <w:rPr>
                <w:rFonts w:asciiTheme="minorHAnsi" w:hAnsiTheme="minorHAnsi" w:cstheme="minorHAnsi"/>
                <w:bCs/>
                <w:color w:val="000000" w:themeColor="text1"/>
                <w:sz w:val="20"/>
                <w:szCs w:val="20"/>
              </w:rPr>
            </w:pPr>
            <w:r w:rsidRPr="006D26BB">
              <w:rPr>
                <w:rFonts w:asciiTheme="minorHAnsi" w:hAnsiTheme="minorHAnsi" w:cstheme="minorHAnsi"/>
                <w:bCs/>
                <w:color w:val="000000" w:themeColor="text1"/>
                <w:sz w:val="20"/>
                <w:szCs w:val="20"/>
              </w:rPr>
              <w:t>27</w:t>
            </w:r>
          </w:p>
        </w:tc>
        <w:tc>
          <w:tcPr>
            <w:tcW w:w="1276" w:type="dxa"/>
            <w:tcBorders>
              <w:top w:val="nil"/>
              <w:left w:val="nil"/>
              <w:bottom w:val="nil"/>
              <w:right w:val="nil"/>
            </w:tcBorders>
            <w:shd w:val="clear" w:color="000000" w:fill="FFFFFF"/>
            <w:noWrap/>
            <w:vAlign w:val="center"/>
          </w:tcPr>
          <w:p w14:paraId="6AB3251F" w14:textId="7160C33F" w:rsidR="00A13EC0" w:rsidRPr="006D26BB" w:rsidRDefault="00A13EC0" w:rsidP="00A13EC0">
            <w:pPr>
              <w:spacing w:after="0" w:line="240" w:lineRule="auto"/>
              <w:jc w:val="right"/>
              <w:rPr>
                <w:rFonts w:asciiTheme="minorHAnsi" w:hAnsiTheme="minorHAnsi" w:cstheme="minorHAnsi"/>
                <w:bCs/>
                <w:color w:val="000000" w:themeColor="text1"/>
                <w:sz w:val="20"/>
                <w:szCs w:val="20"/>
              </w:rPr>
            </w:pPr>
            <w:r w:rsidRPr="006D26BB">
              <w:rPr>
                <w:rFonts w:asciiTheme="minorHAnsi" w:hAnsiTheme="minorHAnsi" w:cstheme="minorHAnsi"/>
                <w:bCs/>
                <w:color w:val="000000" w:themeColor="text1"/>
                <w:sz w:val="20"/>
                <w:szCs w:val="20"/>
              </w:rPr>
              <w:t>0.03</w:t>
            </w:r>
          </w:p>
        </w:tc>
      </w:tr>
      <w:tr w:rsidR="00A13EC0" w:rsidRPr="006D26BB" w14:paraId="71664D7D" w14:textId="77777777" w:rsidTr="00997EF7">
        <w:trPr>
          <w:trHeight w:val="145"/>
        </w:trPr>
        <w:tc>
          <w:tcPr>
            <w:tcW w:w="4111" w:type="dxa"/>
            <w:tcBorders>
              <w:top w:val="nil"/>
              <w:left w:val="nil"/>
              <w:bottom w:val="single" w:sz="8" w:space="0" w:color="auto"/>
              <w:right w:val="nil"/>
            </w:tcBorders>
            <w:shd w:val="clear" w:color="000000" w:fill="FFFFFF"/>
            <w:noWrap/>
            <w:vAlign w:val="center"/>
            <w:hideMark/>
          </w:tcPr>
          <w:p w14:paraId="2F3BB03A" w14:textId="77777777" w:rsidR="00A13EC0" w:rsidRPr="006D26BB" w:rsidRDefault="00A13EC0" w:rsidP="00A13EC0">
            <w:pPr>
              <w:spacing w:after="0" w:line="240" w:lineRule="auto"/>
              <w:rPr>
                <w:rFonts w:asciiTheme="minorHAnsi" w:hAnsiTheme="minorHAnsi" w:cstheme="minorHAnsi"/>
                <w:bCs/>
                <w:color w:val="000000" w:themeColor="text1"/>
                <w:sz w:val="20"/>
                <w:szCs w:val="20"/>
              </w:rPr>
            </w:pPr>
            <w:r w:rsidRPr="006D26BB">
              <w:rPr>
                <w:rFonts w:asciiTheme="minorHAnsi" w:hAnsiTheme="minorHAnsi" w:cstheme="minorHAnsi"/>
                <w:bCs/>
                <w:color w:val="000000" w:themeColor="text1"/>
                <w:sz w:val="20"/>
                <w:szCs w:val="20"/>
              </w:rPr>
              <w:t>Statutory profit after tax / Basic EPS</w:t>
            </w:r>
          </w:p>
        </w:tc>
        <w:tc>
          <w:tcPr>
            <w:tcW w:w="1275" w:type="dxa"/>
            <w:tcBorders>
              <w:top w:val="single" w:sz="8" w:space="0" w:color="auto"/>
              <w:left w:val="nil"/>
              <w:bottom w:val="single" w:sz="8" w:space="0" w:color="auto"/>
              <w:right w:val="nil"/>
            </w:tcBorders>
            <w:shd w:val="clear" w:color="000000" w:fill="FFFFFF"/>
            <w:vAlign w:val="center"/>
          </w:tcPr>
          <w:p w14:paraId="1FE47A03" w14:textId="56C682B5" w:rsidR="00A13EC0" w:rsidRPr="006D26BB" w:rsidRDefault="00A13EC0" w:rsidP="00A13EC0">
            <w:pPr>
              <w:spacing w:after="0" w:line="240" w:lineRule="auto"/>
              <w:jc w:val="right"/>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7,280</w:t>
            </w:r>
          </w:p>
        </w:tc>
        <w:tc>
          <w:tcPr>
            <w:tcW w:w="1276" w:type="dxa"/>
            <w:tcBorders>
              <w:top w:val="single" w:sz="8" w:space="0" w:color="auto"/>
              <w:left w:val="nil"/>
              <w:bottom w:val="single" w:sz="8" w:space="0" w:color="auto"/>
              <w:right w:val="nil"/>
            </w:tcBorders>
            <w:shd w:val="clear" w:color="000000" w:fill="FFFFFF"/>
            <w:vAlign w:val="center"/>
          </w:tcPr>
          <w:p w14:paraId="1B298FDF" w14:textId="18914F78" w:rsidR="00A13EC0" w:rsidRPr="006D26BB" w:rsidRDefault="00A13EC0" w:rsidP="00A13EC0">
            <w:pPr>
              <w:spacing w:after="0" w:line="240" w:lineRule="auto"/>
              <w:jc w:val="right"/>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8.44</w:t>
            </w:r>
          </w:p>
        </w:tc>
        <w:tc>
          <w:tcPr>
            <w:tcW w:w="1276" w:type="dxa"/>
            <w:tcBorders>
              <w:top w:val="single" w:sz="8" w:space="0" w:color="auto"/>
              <w:left w:val="nil"/>
              <w:bottom w:val="single" w:sz="8" w:space="0" w:color="auto"/>
              <w:right w:val="nil"/>
            </w:tcBorders>
            <w:shd w:val="clear" w:color="000000" w:fill="FFFFFF"/>
            <w:vAlign w:val="center"/>
          </w:tcPr>
          <w:p w14:paraId="24811C21" w14:textId="2F32A7D1" w:rsidR="00A13EC0" w:rsidRPr="006D26BB" w:rsidRDefault="00A13EC0" w:rsidP="00A13EC0">
            <w:pPr>
              <w:spacing w:after="0" w:line="240" w:lineRule="auto"/>
              <w:jc w:val="right"/>
              <w:rPr>
                <w:rFonts w:asciiTheme="minorHAnsi" w:hAnsiTheme="minorHAnsi" w:cstheme="minorHAnsi"/>
                <w:bCs/>
                <w:color w:val="000000" w:themeColor="text1"/>
                <w:sz w:val="20"/>
                <w:szCs w:val="20"/>
              </w:rPr>
            </w:pPr>
            <w:r w:rsidRPr="006D26BB">
              <w:rPr>
                <w:rFonts w:asciiTheme="minorHAnsi" w:hAnsiTheme="minorHAnsi" w:cstheme="minorHAnsi"/>
                <w:bCs/>
                <w:color w:val="000000" w:themeColor="text1"/>
                <w:sz w:val="20"/>
                <w:szCs w:val="20"/>
              </w:rPr>
              <w:t>7,620</w:t>
            </w:r>
          </w:p>
        </w:tc>
        <w:tc>
          <w:tcPr>
            <w:tcW w:w="1276" w:type="dxa"/>
            <w:tcBorders>
              <w:top w:val="single" w:sz="8" w:space="0" w:color="auto"/>
              <w:left w:val="nil"/>
              <w:bottom w:val="single" w:sz="8" w:space="0" w:color="auto"/>
              <w:right w:val="nil"/>
            </w:tcBorders>
            <w:shd w:val="clear" w:color="000000" w:fill="FFFFFF"/>
            <w:vAlign w:val="center"/>
          </w:tcPr>
          <w:p w14:paraId="0820E7B9" w14:textId="455CB858" w:rsidR="00A13EC0" w:rsidRPr="006D26BB" w:rsidRDefault="00A13EC0" w:rsidP="00A13EC0">
            <w:pPr>
              <w:spacing w:after="0" w:line="240" w:lineRule="auto"/>
              <w:jc w:val="right"/>
              <w:rPr>
                <w:rFonts w:asciiTheme="minorHAnsi" w:hAnsiTheme="minorHAnsi" w:cstheme="minorHAnsi"/>
                <w:bCs/>
                <w:color w:val="000000" w:themeColor="text1"/>
                <w:sz w:val="20"/>
                <w:szCs w:val="20"/>
              </w:rPr>
            </w:pPr>
            <w:r w:rsidRPr="006D26BB">
              <w:rPr>
                <w:rFonts w:asciiTheme="minorHAnsi" w:hAnsiTheme="minorHAnsi" w:cstheme="minorHAnsi"/>
                <w:bCs/>
                <w:color w:val="000000" w:themeColor="text1"/>
                <w:sz w:val="20"/>
                <w:szCs w:val="20"/>
              </w:rPr>
              <w:t>8.93</w:t>
            </w:r>
          </w:p>
        </w:tc>
      </w:tr>
    </w:tbl>
    <w:p w14:paraId="7CB7B7D5" w14:textId="77777777" w:rsidR="00243A3F" w:rsidRPr="006D26BB" w:rsidRDefault="00243A3F" w:rsidP="00243A3F">
      <w:pPr>
        <w:widowControl w:val="0"/>
        <w:overflowPunct w:val="0"/>
        <w:autoSpaceDE w:val="0"/>
        <w:autoSpaceDN w:val="0"/>
        <w:adjustRightInd w:val="0"/>
        <w:spacing w:after="0" w:line="240" w:lineRule="auto"/>
        <w:rPr>
          <w:rFonts w:asciiTheme="minorHAnsi" w:hAnsiTheme="minorHAnsi" w:cstheme="minorHAnsi"/>
          <w:bCs/>
          <w:color w:val="000000" w:themeColor="text1"/>
          <w:sz w:val="20"/>
          <w:szCs w:val="20"/>
        </w:rPr>
      </w:pPr>
    </w:p>
    <w:p w14:paraId="2F14574C" w14:textId="2CAF43C3" w:rsidR="00243A3F" w:rsidRPr="006D26BB" w:rsidRDefault="00243A3F" w:rsidP="00243A3F">
      <w:pPr>
        <w:widowControl w:val="0"/>
        <w:overflowPunct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D26BB">
        <w:rPr>
          <w:rFonts w:asciiTheme="minorHAnsi" w:hAnsiTheme="minorHAnsi" w:cstheme="minorHAnsi"/>
          <w:bCs/>
          <w:color w:val="000000" w:themeColor="text1"/>
          <w:sz w:val="20"/>
          <w:szCs w:val="20"/>
        </w:rPr>
        <w:t xml:space="preserve">As a result, whilst adjusted profit after tax </w:t>
      </w:r>
      <w:r w:rsidR="00843475" w:rsidRPr="006D26BB">
        <w:rPr>
          <w:rFonts w:asciiTheme="minorHAnsi" w:hAnsiTheme="minorHAnsi" w:cstheme="minorHAnsi"/>
          <w:bCs/>
          <w:color w:val="000000" w:themeColor="text1"/>
          <w:sz w:val="20"/>
          <w:szCs w:val="20"/>
        </w:rPr>
        <w:t>decreased by</w:t>
      </w:r>
      <w:r w:rsidRPr="006D26BB">
        <w:rPr>
          <w:rFonts w:asciiTheme="minorHAnsi" w:hAnsiTheme="minorHAnsi" w:cstheme="minorHAnsi"/>
          <w:bCs/>
          <w:color w:val="000000" w:themeColor="text1"/>
          <w:sz w:val="20"/>
          <w:szCs w:val="20"/>
        </w:rPr>
        <w:t xml:space="preserve"> </w:t>
      </w:r>
      <w:r w:rsidR="00DC5E18">
        <w:rPr>
          <w:rFonts w:asciiTheme="minorHAnsi" w:hAnsiTheme="minorHAnsi" w:cstheme="minorHAnsi"/>
          <w:bCs/>
          <w:color w:val="000000" w:themeColor="text1"/>
          <w:sz w:val="20"/>
          <w:szCs w:val="20"/>
        </w:rPr>
        <w:t>5</w:t>
      </w:r>
      <w:r w:rsidRPr="006D26BB">
        <w:rPr>
          <w:rFonts w:asciiTheme="minorHAnsi" w:hAnsiTheme="minorHAnsi" w:cstheme="minorHAnsi"/>
          <w:bCs/>
          <w:color w:val="000000" w:themeColor="text1"/>
          <w:sz w:val="20"/>
          <w:szCs w:val="20"/>
        </w:rPr>
        <w:t>% to £</w:t>
      </w:r>
      <w:r w:rsidR="00843475" w:rsidRPr="006D26BB">
        <w:rPr>
          <w:rFonts w:asciiTheme="minorHAnsi" w:hAnsiTheme="minorHAnsi" w:cstheme="minorHAnsi"/>
          <w:bCs/>
          <w:color w:val="000000" w:themeColor="text1"/>
          <w:sz w:val="20"/>
          <w:szCs w:val="20"/>
        </w:rPr>
        <w:t>7.4</w:t>
      </w:r>
      <w:r w:rsidRPr="006D26BB">
        <w:rPr>
          <w:rFonts w:asciiTheme="minorHAnsi" w:hAnsiTheme="minorHAnsi" w:cstheme="minorHAnsi"/>
          <w:bCs/>
          <w:color w:val="000000" w:themeColor="text1"/>
          <w:sz w:val="20"/>
          <w:szCs w:val="20"/>
        </w:rPr>
        <w:t>m (</w:t>
      </w:r>
      <w:r w:rsidR="00843475" w:rsidRPr="006D26BB">
        <w:rPr>
          <w:rFonts w:asciiTheme="minorHAnsi" w:hAnsiTheme="minorHAnsi" w:cstheme="minorHAnsi"/>
          <w:bCs/>
          <w:color w:val="000000" w:themeColor="text1"/>
          <w:sz w:val="20"/>
          <w:szCs w:val="20"/>
        </w:rPr>
        <w:t>H1 2022</w:t>
      </w:r>
      <w:r w:rsidRPr="006D26BB">
        <w:rPr>
          <w:rFonts w:asciiTheme="minorHAnsi" w:hAnsiTheme="minorHAnsi" w:cstheme="minorHAnsi"/>
          <w:bCs/>
          <w:color w:val="000000" w:themeColor="text1"/>
          <w:sz w:val="20"/>
          <w:szCs w:val="20"/>
        </w:rPr>
        <w:t>: £</w:t>
      </w:r>
      <w:r w:rsidR="00843475" w:rsidRPr="006D26BB">
        <w:rPr>
          <w:rFonts w:asciiTheme="minorHAnsi" w:hAnsiTheme="minorHAnsi" w:cstheme="minorHAnsi"/>
          <w:bCs/>
          <w:color w:val="000000" w:themeColor="text1"/>
          <w:sz w:val="20"/>
          <w:szCs w:val="20"/>
        </w:rPr>
        <w:t>7</w:t>
      </w:r>
      <w:r w:rsidRPr="006D26BB">
        <w:rPr>
          <w:rFonts w:asciiTheme="minorHAnsi" w:hAnsiTheme="minorHAnsi" w:cstheme="minorHAnsi"/>
          <w:bCs/>
          <w:color w:val="000000" w:themeColor="text1"/>
          <w:sz w:val="20"/>
          <w:szCs w:val="20"/>
        </w:rPr>
        <w:t xml:space="preserve">.7m), adjusted earnings per share </w:t>
      </w:r>
      <w:r w:rsidR="00843475" w:rsidRPr="006D26BB">
        <w:rPr>
          <w:rFonts w:asciiTheme="minorHAnsi" w:hAnsiTheme="minorHAnsi" w:cstheme="minorHAnsi"/>
          <w:bCs/>
          <w:color w:val="000000" w:themeColor="text1"/>
          <w:sz w:val="20"/>
          <w:szCs w:val="20"/>
        </w:rPr>
        <w:t>de</w:t>
      </w:r>
      <w:r w:rsidRPr="006D26BB">
        <w:rPr>
          <w:rFonts w:asciiTheme="minorHAnsi" w:hAnsiTheme="minorHAnsi" w:cstheme="minorHAnsi"/>
          <w:bCs/>
          <w:color w:val="000000" w:themeColor="text1"/>
          <w:sz w:val="20"/>
          <w:szCs w:val="20"/>
        </w:rPr>
        <w:t xml:space="preserve">creased by </w:t>
      </w:r>
      <w:r w:rsidR="00843475" w:rsidRPr="006D26BB">
        <w:rPr>
          <w:rFonts w:asciiTheme="minorHAnsi" w:hAnsiTheme="minorHAnsi" w:cstheme="minorHAnsi"/>
          <w:bCs/>
          <w:color w:val="000000" w:themeColor="text1"/>
          <w:sz w:val="20"/>
          <w:szCs w:val="20"/>
        </w:rPr>
        <w:t>6</w:t>
      </w:r>
      <w:r w:rsidRPr="006D26BB">
        <w:rPr>
          <w:rFonts w:asciiTheme="minorHAnsi" w:hAnsiTheme="minorHAnsi" w:cstheme="minorHAnsi"/>
          <w:bCs/>
          <w:color w:val="000000" w:themeColor="text1"/>
          <w:sz w:val="20"/>
          <w:szCs w:val="20"/>
        </w:rPr>
        <w:t xml:space="preserve">% to </w:t>
      </w:r>
      <w:r w:rsidR="00843475" w:rsidRPr="006D26BB">
        <w:rPr>
          <w:rFonts w:asciiTheme="minorHAnsi" w:hAnsiTheme="minorHAnsi" w:cstheme="minorHAnsi"/>
          <w:bCs/>
          <w:color w:val="000000" w:themeColor="text1"/>
          <w:sz w:val="20"/>
          <w:szCs w:val="20"/>
        </w:rPr>
        <w:t>8.56</w:t>
      </w:r>
      <w:r w:rsidRPr="006D26BB">
        <w:rPr>
          <w:rFonts w:asciiTheme="minorHAnsi" w:hAnsiTheme="minorHAnsi" w:cstheme="minorHAnsi"/>
          <w:bCs/>
          <w:color w:val="000000" w:themeColor="text1"/>
          <w:sz w:val="20"/>
          <w:szCs w:val="20"/>
        </w:rPr>
        <w:t>p (</w:t>
      </w:r>
      <w:r w:rsidR="00843475" w:rsidRPr="006D26BB">
        <w:rPr>
          <w:rFonts w:asciiTheme="minorHAnsi" w:hAnsiTheme="minorHAnsi" w:cstheme="minorHAnsi"/>
          <w:bCs/>
          <w:color w:val="000000" w:themeColor="text1"/>
          <w:sz w:val="20"/>
          <w:szCs w:val="20"/>
        </w:rPr>
        <w:t>H1 2022</w:t>
      </w:r>
      <w:r w:rsidRPr="006D26BB">
        <w:rPr>
          <w:rFonts w:asciiTheme="minorHAnsi" w:hAnsiTheme="minorHAnsi" w:cstheme="minorHAnsi"/>
          <w:bCs/>
          <w:color w:val="000000" w:themeColor="text1"/>
          <w:sz w:val="20"/>
          <w:szCs w:val="20"/>
        </w:rPr>
        <w:t xml:space="preserve">: </w:t>
      </w:r>
      <w:r w:rsidR="00843475" w:rsidRPr="006D26BB">
        <w:rPr>
          <w:rFonts w:asciiTheme="minorHAnsi" w:hAnsiTheme="minorHAnsi" w:cstheme="minorHAnsi"/>
          <w:bCs/>
          <w:color w:val="000000" w:themeColor="text1"/>
          <w:sz w:val="20"/>
          <w:szCs w:val="20"/>
        </w:rPr>
        <w:t>9.07</w:t>
      </w:r>
      <w:r w:rsidRPr="006D26BB">
        <w:rPr>
          <w:rFonts w:asciiTheme="minorHAnsi" w:hAnsiTheme="minorHAnsi" w:cstheme="minorHAnsi"/>
          <w:bCs/>
          <w:color w:val="000000" w:themeColor="text1"/>
          <w:sz w:val="20"/>
          <w:szCs w:val="20"/>
        </w:rPr>
        <w:t xml:space="preserve">p). </w:t>
      </w:r>
    </w:p>
    <w:p w14:paraId="60BAD459" w14:textId="77777777" w:rsidR="004C3B27" w:rsidRPr="006D26BB" w:rsidRDefault="004C3B27" w:rsidP="00243A3F">
      <w:pPr>
        <w:widowControl w:val="0"/>
        <w:overflowPunct w:val="0"/>
        <w:autoSpaceDE w:val="0"/>
        <w:autoSpaceDN w:val="0"/>
        <w:adjustRightInd w:val="0"/>
        <w:spacing w:after="0" w:line="240" w:lineRule="auto"/>
        <w:jc w:val="both"/>
        <w:rPr>
          <w:rFonts w:asciiTheme="minorHAnsi" w:hAnsiTheme="minorHAnsi" w:cstheme="minorHAnsi"/>
          <w:bCs/>
          <w:color w:val="000000" w:themeColor="text1"/>
          <w:sz w:val="20"/>
          <w:szCs w:val="20"/>
        </w:rPr>
      </w:pPr>
    </w:p>
    <w:p w14:paraId="6EA69709" w14:textId="77777777" w:rsidR="00243A3F" w:rsidRPr="006D26BB" w:rsidRDefault="00243A3F" w:rsidP="00243A3F">
      <w:pPr>
        <w:widowControl w:val="0"/>
        <w:autoSpaceDE w:val="0"/>
        <w:autoSpaceDN w:val="0"/>
        <w:adjustRightInd w:val="0"/>
        <w:spacing w:after="0" w:line="240" w:lineRule="auto"/>
        <w:jc w:val="both"/>
        <w:rPr>
          <w:rFonts w:asciiTheme="minorHAnsi" w:hAnsiTheme="minorHAnsi" w:cstheme="minorHAnsi"/>
          <w:b/>
          <w:color w:val="000000" w:themeColor="text1"/>
          <w:sz w:val="20"/>
          <w:szCs w:val="20"/>
        </w:rPr>
      </w:pPr>
      <w:r w:rsidRPr="006D26BB">
        <w:rPr>
          <w:rFonts w:asciiTheme="minorHAnsi" w:hAnsiTheme="minorHAnsi" w:cstheme="minorHAnsi"/>
          <w:b/>
          <w:color w:val="000000" w:themeColor="text1"/>
          <w:sz w:val="20"/>
          <w:szCs w:val="20"/>
        </w:rPr>
        <w:t>Financing and cash flow</w:t>
      </w:r>
    </w:p>
    <w:p w14:paraId="07FD250A" w14:textId="2DD51967" w:rsidR="00243A3F" w:rsidRDefault="009B14D9" w:rsidP="009B14D9">
      <w:pPr>
        <w:widowControl w:val="0"/>
        <w:overflowPunct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D26BB">
        <w:rPr>
          <w:rFonts w:asciiTheme="minorHAnsi" w:hAnsiTheme="minorHAnsi" w:cstheme="minorHAnsi"/>
          <w:bCs/>
          <w:color w:val="000000" w:themeColor="text1"/>
          <w:sz w:val="20"/>
          <w:szCs w:val="20"/>
        </w:rPr>
        <w:t>The Group generated cash from operating activities of £12.</w:t>
      </w:r>
      <w:r w:rsidR="003B4348">
        <w:rPr>
          <w:rFonts w:asciiTheme="minorHAnsi" w:hAnsiTheme="minorHAnsi" w:cstheme="minorHAnsi"/>
          <w:bCs/>
          <w:color w:val="000000" w:themeColor="text1"/>
          <w:sz w:val="20"/>
          <w:szCs w:val="20"/>
        </w:rPr>
        <w:t>8</w:t>
      </w:r>
      <w:r w:rsidRPr="006D26BB">
        <w:rPr>
          <w:rFonts w:asciiTheme="minorHAnsi" w:hAnsiTheme="minorHAnsi" w:cstheme="minorHAnsi"/>
          <w:bCs/>
          <w:color w:val="000000" w:themeColor="text1"/>
          <w:sz w:val="20"/>
          <w:szCs w:val="20"/>
        </w:rPr>
        <w:t>m (H1 2022: used cash of £5.</w:t>
      </w:r>
      <w:r w:rsidR="003B4348">
        <w:rPr>
          <w:rFonts w:asciiTheme="minorHAnsi" w:hAnsiTheme="minorHAnsi" w:cstheme="minorHAnsi"/>
          <w:bCs/>
          <w:color w:val="000000" w:themeColor="text1"/>
          <w:sz w:val="20"/>
          <w:szCs w:val="20"/>
        </w:rPr>
        <w:t>0</w:t>
      </w:r>
      <w:r w:rsidRPr="006D26BB">
        <w:rPr>
          <w:rFonts w:asciiTheme="minorHAnsi" w:hAnsiTheme="minorHAnsi" w:cstheme="minorHAnsi"/>
          <w:bCs/>
          <w:color w:val="000000" w:themeColor="text1"/>
          <w:sz w:val="20"/>
          <w:szCs w:val="20"/>
        </w:rPr>
        <w:t>m)</w:t>
      </w:r>
      <w:r>
        <w:rPr>
          <w:rFonts w:asciiTheme="minorHAnsi" w:hAnsiTheme="minorHAnsi" w:cstheme="minorHAnsi"/>
          <w:bCs/>
          <w:color w:val="000000" w:themeColor="text1"/>
          <w:sz w:val="20"/>
          <w:szCs w:val="20"/>
        </w:rPr>
        <w:t>, being a 11</w:t>
      </w:r>
      <w:r w:rsidR="003B4348">
        <w:rPr>
          <w:rFonts w:asciiTheme="minorHAnsi" w:hAnsiTheme="minorHAnsi" w:cstheme="minorHAnsi"/>
          <w:bCs/>
          <w:color w:val="000000" w:themeColor="text1"/>
          <w:sz w:val="20"/>
          <w:szCs w:val="20"/>
        </w:rPr>
        <w:t>4</w:t>
      </w:r>
      <w:r>
        <w:rPr>
          <w:rFonts w:asciiTheme="minorHAnsi" w:hAnsiTheme="minorHAnsi" w:cstheme="minorHAnsi"/>
          <w:bCs/>
          <w:color w:val="000000" w:themeColor="text1"/>
          <w:sz w:val="20"/>
          <w:szCs w:val="20"/>
        </w:rPr>
        <w:t>% operating cash conversion. This was significantly stronger than the previous period when the Group needed to invest in working capital due to the supply chain crisis during CY 2021. This meant that at</w:t>
      </w:r>
      <w:r w:rsidR="00243A3F" w:rsidRPr="006D26BB">
        <w:rPr>
          <w:rFonts w:asciiTheme="minorHAnsi" w:hAnsiTheme="minorHAnsi" w:cstheme="minorHAnsi"/>
          <w:bCs/>
          <w:color w:val="000000" w:themeColor="text1"/>
          <w:sz w:val="20"/>
          <w:szCs w:val="20"/>
        </w:rPr>
        <w:t xml:space="preserve"> the </w:t>
      </w:r>
      <w:r w:rsidR="00787B8B" w:rsidRPr="006D26BB">
        <w:rPr>
          <w:rFonts w:asciiTheme="minorHAnsi" w:hAnsiTheme="minorHAnsi" w:cstheme="minorHAnsi"/>
          <w:bCs/>
          <w:color w:val="000000" w:themeColor="text1"/>
          <w:sz w:val="20"/>
          <w:szCs w:val="20"/>
        </w:rPr>
        <w:t>period</w:t>
      </w:r>
      <w:r w:rsidR="00243A3F" w:rsidRPr="006D26BB">
        <w:rPr>
          <w:rFonts w:asciiTheme="minorHAnsi" w:hAnsiTheme="minorHAnsi" w:cstheme="minorHAnsi"/>
          <w:bCs/>
          <w:color w:val="000000" w:themeColor="text1"/>
          <w:sz w:val="20"/>
          <w:szCs w:val="20"/>
        </w:rPr>
        <w:t xml:space="preserve"> end the Group had a net bank debt/adjusted EBITDA ratio of 1.</w:t>
      </w:r>
      <w:r w:rsidR="00787B8B" w:rsidRPr="006D26BB">
        <w:rPr>
          <w:rFonts w:asciiTheme="minorHAnsi" w:hAnsiTheme="minorHAnsi" w:cstheme="minorHAnsi"/>
          <w:bCs/>
          <w:color w:val="000000" w:themeColor="text1"/>
          <w:sz w:val="20"/>
          <w:szCs w:val="20"/>
        </w:rPr>
        <w:t>0</w:t>
      </w:r>
      <w:r w:rsidR="00243A3F" w:rsidRPr="006D26BB">
        <w:rPr>
          <w:rFonts w:asciiTheme="minorHAnsi" w:hAnsiTheme="minorHAnsi" w:cstheme="minorHAnsi"/>
          <w:bCs/>
          <w:color w:val="000000" w:themeColor="text1"/>
          <w:sz w:val="20"/>
          <w:szCs w:val="20"/>
        </w:rPr>
        <w:t>x (31 July 202</w:t>
      </w:r>
      <w:r w:rsidR="00C54858">
        <w:rPr>
          <w:rFonts w:asciiTheme="minorHAnsi" w:hAnsiTheme="minorHAnsi" w:cstheme="minorHAnsi"/>
          <w:bCs/>
          <w:color w:val="000000" w:themeColor="text1"/>
          <w:sz w:val="20"/>
          <w:szCs w:val="20"/>
        </w:rPr>
        <w:t>2</w:t>
      </w:r>
      <w:r w:rsidR="00243A3F" w:rsidRPr="006D26BB">
        <w:rPr>
          <w:rFonts w:asciiTheme="minorHAnsi" w:hAnsiTheme="minorHAnsi" w:cstheme="minorHAnsi"/>
          <w:bCs/>
          <w:color w:val="000000" w:themeColor="text1"/>
          <w:sz w:val="20"/>
          <w:szCs w:val="20"/>
        </w:rPr>
        <w:t>: 1.</w:t>
      </w:r>
      <w:r w:rsidR="00C54858">
        <w:rPr>
          <w:rFonts w:asciiTheme="minorHAnsi" w:hAnsiTheme="minorHAnsi" w:cstheme="minorHAnsi"/>
          <w:bCs/>
          <w:color w:val="000000" w:themeColor="text1"/>
          <w:sz w:val="20"/>
          <w:szCs w:val="20"/>
        </w:rPr>
        <w:t>3</w:t>
      </w:r>
      <w:r w:rsidR="00243A3F" w:rsidRPr="006D26BB">
        <w:rPr>
          <w:rFonts w:asciiTheme="minorHAnsi" w:hAnsiTheme="minorHAnsi" w:cstheme="minorHAnsi"/>
          <w:bCs/>
          <w:color w:val="000000" w:themeColor="text1"/>
          <w:sz w:val="20"/>
          <w:szCs w:val="20"/>
        </w:rPr>
        <w:t>x), which represents net bank debt of £</w:t>
      </w:r>
      <w:r w:rsidR="00787B8B" w:rsidRPr="006D26BB">
        <w:rPr>
          <w:rFonts w:asciiTheme="minorHAnsi" w:hAnsiTheme="minorHAnsi" w:cstheme="minorHAnsi"/>
          <w:bCs/>
          <w:color w:val="000000" w:themeColor="text1"/>
          <w:sz w:val="20"/>
          <w:szCs w:val="20"/>
        </w:rPr>
        <w:t>19.4</w:t>
      </w:r>
      <w:r w:rsidR="00243A3F" w:rsidRPr="006D26BB">
        <w:rPr>
          <w:rFonts w:asciiTheme="minorHAnsi" w:hAnsiTheme="minorHAnsi" w:cstheme="minorHAnsi"/>
          <w:bCs/>
          <w:color w:val="000000" w:themeColor="text1"/>
          <w:sz w:val="20"/>
          <w:szCs w:val="20"/>
        </w:rPr>
        <w:t>m (31 July 202</w:t>
      </w:r>
      <w:r w:rsidR="00787B8B" w:rsidRPr="006D26BB">
        <w:rPr>
          <w:rFonts w:asciiTheme="minorHAnsi" w:hAnsiTheme="minorHAnsi" w:cstheme="minorHAnsi"/>
          <w:bCs/>
          <w:color w:val="000000" w:themeColor="text1"/>
          <w:sz w:val="20"/>
          <w:szCs w:val="20"/>
        </w:rPr>
        <w:t>2</w:t>
      </w:r>
      <w:r w:rsidR="00243A3F" w:rsidRPr="006D26BB">
        <w:rPr>
          <w:rFonts w:asciiTheme="minorHAnsi" w:hAnsiTheme="minorHAnsi" w:cstheme="minorHAnsi"/>
          <w:bCs/>
          <w:color w:val="000000" w:themeColor="text1"/>
          <w:sz w:val="20"/>
          <w:szCs w:val="20"/>
        </w:rPr>
        <w:t>: £</w:t>
      </w:r>
      <w:r w:rsidR="00787B8B" w:rsidRPr="006D26BB">
        <w:rPr>
          <w:rFonts w:asciiTheme="minorHAnsi" w:hAnsiTheme="minorHAnsi" w:cstheme="minorHAnsi"/>
          <w:bCs/>
          <w:color w:val="000000" w:themeColor="text1"/>
          <w:sz w:val="20"/>
          <w:szCs w:val="20"/>
        </w:rPr>
        <w:t>24.3</w:t>
      </w:r>
      <w:r w:rsidR="00243A3F" w:rsidRPr="006D26BB">
        <w:rPr>
          <w:rFonts w:asciiTheme="minorHAnsi" w:hAnsiTheme="minorHAnsi" w:cstheme="minorHAnsi"/>
          <w:bCs/>
          <w:color w:val="000000" w:themeColor="text1"/>
          <w:sz w:val="20"/>
          <w:szCs w:val="20"/>
        </w:rPr>
        <w:t xml:space="preserve">m). The Group maintains comfortable levels of headroom within its bank facilities, with headroom </w:t>
      </w:r>
      <w:proofErr w:type="gramStart"/>
      <w:r w:rsidR="00243A3F" w:rsidRPr="006D26BB">
        <w:rPr>
          <w:rFonts w:asciiTheme="minorHAnsi" w:hAnsiTheme="minorHAnsi" w:cstheme="minorHAnsi"/>
          <w:bCs/>
          <w:color w:val="000000" w:themeColor="text1"/>
          <w:sz w:val="20"/>
          <w:szCs w:val="20"/>
        </w:rPr>
        <w:t>at</w:t>
      </w:r>
      <w:proofErr w:type="gramEnd"/>
      <w:r w:rsidR="00243A3F" w:rsidRPr="006D26BB">
        <w:rPr>
          <w:rFonts w:asciiTheme="minorHAnsi" w:hAnsiTheme="minorHAnsi" w:cstheme="minorHAnsi"/>
          <w:bCs/>
          <w:color w:val="000000" w:themeColor="text1"/>
          <w:sz w:val="20"/>
          <w:szCs w:val="20"/>
        </w:rPr>
        <w:t xml:space="preserve"> 31 J</w:t>
      </w:r>
      <w:r w:rsidR="00787B8B" w:rsidRPr="006D26BB">
        <w:rPr>
          <w:rFonts w:asciiTheme="minorHAnsi" w:hAnsiTheme="minorHAnsi" w:cstheme="minorHAnsi"/>
          <w:bCs/>
          <w:color w:val="000000" w:themeColor="text1"/>
          <w:sz w:val="20"/>
          <w:szCs w:val="20"/>
        </w:rPr>
        <w:t xml:space="preserve">anuary </w:t>
      </w:r>
      <w:r w:rsidR="00243A3F" w:rsidRPr="006D26BB">
        <w:rPr>
          <w:rFonts w:asciiTheme="minorHAnsi" w:hAnsiTheme="minorHAnsi" w:cstheme="minorHAnsi"/>
          <w:bCs/>
          <w:color w:val="000000" w:themeColor="text1"/>
          <w:sz w:val="20"/>
          <w:szCs w:val="20"/>
        </w:rPr>
        <w:t>202</w:t>
      </w:r>
      <w:r w:rsidR="00787B8B" w:rsidRPr="006D26BB">
        <w:rPr>
          <w:rFonts w:asciiTheme="minorHAnsi" w:hAnsiTheme="minorHAnsi" w:cstheme="minorHAnsi"/>
          <w:bCs/>
          <w:color w:val="000000" w:themeColor="text1"/>
          <w:sz w:val="20"/>
          <w:szCs w:val="20"/>
        </w:rPr>
        <w:t>3</w:t>
      </w:r>
      <w:r w:rsidR="00243A3F" w:rsidRPr="006D26BB">
        <w:rPr>
          <w:rFonts w:asciiTheme="minorHAnsi" w:hAnsiTheme="minorHAnsi" w:cstheme="minorHAnsi"/>
          <w:bCs/>
          <w:color w:val="000000" w:themeColor="text1"/>
          <w:sz w:val="20"/>
          <w:szCs w:val="20"/>
        </w:rPr>
        <w:t xml:space="preserve"> of £</w:t>
      </w:r>
      <w:r w:rsidR="00787B8B" w:rsidRPr="006D26BB">
        <w:rPr>
          <w:rFonts w:asciiTheme="minorHAnsi" w:hAnsiTheme="minorHAnsi" w:cstheme="minorHAnsi"/>
          <w:bCs/>
          <w:color w:val="000000" w:themeColor="text1"/>
          <w:sz w:val="20"/>
          <w:szCs w:val="20"/>
        </w:rPr>
        <w:t>22.4</w:t>
      </w:r>
      <w:r w:rsidR="00243A3F" w:rsidRPr="006D26BB">
        <w:rPr>
          <w:rFonts w:asciiTheme="minorHAnsi" w:hAnsiTheme="minorHAnsi" w:cstheme="minorHAnsi"/>
          <w:bCs/>
          <w:color w:val="000000" w:themeColor="text1"/>
          <w:sz w:val="20"/>
          <w:szCs w:val="20"/>
        </w:rPr>
        <w:t>m (31 July 202</w:t>
      </w:r>
      <w:r w:rsidR="00787B8B" w:rsidRPr="006D26BB">
        <w:rPr>
          <w:rFonts w:asciiTheme="minorHAnsi" w:hAnsiTheme="minorHAnsi" w:cstheme="minorHAnsi"/>
          <w:bCs/>
          <w:color w:val="000000" w:themeColor="text1"/>
          <w:sz w:val="20"/>
          <w:szCs w:val="20"/>
        </w:rPr>
        <w:t>2</w:t>
      </w:r>
      <w:r w:rsidR="00243A3F" w:rsidRPr="006D26BB">
        <w:rPr>
          <w:rFonts w:asciiTheme="minorHAnsi" w:hAnsiTheme="minorHAnsi" w:cstheme="minorHAnsi"/>
          <w:bCs/>
          <w:color w:val="000000" w:themeColor="text1"/>
          <w:sz w:val="20"/>
          <w:szCs w:val="20"/>
        </w:rPr>
        <w:t>: £1</w:t>
      </w:r>
      <w:r w:rsidR="00787B8B" w:rsidRPr="006D26BB">
        <w:rPr>
          <w:rFonts w:asciiTheme="minorHAnsi" w:hAnsiTheme="minorHAnsi" w:cstheme="minorHAnsi"/>
          <w:bCs/>
          <w:color w:val="000000" w:themeColor="text1"/>
          <w:sz w:val="20"/>
          <w:szCs w:val="20"/>
        </w:rPr>
        <w:t>7.8</w:t>
      </w:r>
      <w:r w:rsidR="00243A3F" w:rsidRPr="006D26BB">
        <w:rPr>
          <w:rFonts w:asciiTheme="minorHAnsi" w:hAnsiTheme="minorHAnsi" w:cstheme="minorHAnsi"/>
          <w:bCs/>
          <w:color w:val="000000" w:themeColor="text1"/>
          <w:sz w:val="20"/>
          <w:szCs w:val="20"/>
        </w:rPr>
        <w:t xml:space="preserve">m). The Group makes use of term loans for longer term funding, such as acquisitions, whereas our invoice discounting and import loan facilities are designed to fund our working capital, and automatically increase in relation to our levels of trading. </w:t>
      </w:r>
    </w:p>
    <w:p w14:paraId="7A04C33E" w14:textId="77777777" w:rsidR="00C707F9" w:rsidRPr="006D26BB" w:rsidRDefault="00C707F9" w:rsidP="009B14D9">
      <w:pPr>
        <w:widowControl w:val="0"/>
        <w:overflowPunct w:val="0"/>
        <w:autoSpaceDE w:val="0"/>
        <w:autoSpaceDN w:val="0"/>
        <w:adjustRightInd w:val="0"/>
        <w:spacing w:after="0" w:line="240" w:lineRule="auto"/>
        <w:jc w:val="both"/>
        <w:rPr>
          <w:rFonts w:asciiTheme="minorHAnsi" w:hAnsiTheme="minorHAnsi" w:cstheme="minorHAnsi"/>
          <w:bCs/>
          <w:color w:val="000000" w:themeColor="text1"/>
          <w:sz w:val="20"/>
          <w:szCs w:val="20"/>
        </w:rPr>
      </w:pPr>
    </w:p>
    <w:p w14:paraId="1582B259" w14:textId="77777777" w:rsidR="00243A3F" w:rsidRPr="006D26BB" w:rsidRDefault="00243A3F" w:rsidP="00243A3F">
      <w:pPr>
        <w:widowControl w:val="0"/>
        <w:autoSpaceDE w:val="0"/>
        <w:autoSpaceDN w:val="0"/>
        <w:adjustRightInd w:val="0"/>
        <w:spacing w:after="0" w:line="240" w:lineRule="auto"/>
        <w:rPr>
          <w:rFonts w:asciiTheme="minorHAnsi" w:hAnsiTheme="minorHAnsi" w:cstheme="minorHAnsi"/>
          <w:bCs/>
          <w:color w:val="000000" w:themeColor="text1"/>
          <w:sz w:val="20"/>
          <w:szCs w:val="20"/>
        </w:rPr>
      </w:pPr>
    </w:p>
    <w:tbl>
      <w:tblPr>
        <w:tblW w:w="9224" w:type="dxa"/>
        <w:tblLayout w:type="fixed"/>
        <w:tblLook w:val="04A0" w:firstRow="1" w:lastRow="0" w:firstColumn="1" w:lastColumn="0" w:noHBand="0" w:noVBand="1"/>
      </w:tblPr>
      <w:tblGrid>
        <w:gridCol w:w="4111"/>
        <w:gridCol w:w="1278"/>
        <w:gridCol w:w="1278"/>
        <w:gridCol w:w="1278"/>
        <w:gridCol w:w="1279"/>
      </w:tblGrid>
      <w:tr w:rsidR="00243A3F" w:rsidRPr="006D26BB" w14:paraId="5A50E49F" w14:textId="77777777" w:rsidTr="00997EF7">
        <w:trPr>
          <w:trHeight w:val="246"/>
        </w:trPr>
        <w:tc>
          <w:tcPr>
            <w:tcW w:w="4111" w:type="dxa"/>
            <w:tcBorders>
              <w:top w:val="nil"/>
              <w:left w:val="nil"/>
              <w:bottom w:val="nil"/>
              <w:right w:val="nil"/>
            </w:tcBorders>
            <w:shd w:val="clear" w:color="000000" w:fill="FFFFFF"/>
            <w:noWrap/>
            <w:vAlign w:val="bottom"/>
            <w:hideMark/>
          </w:tcPr>
          <w:p w14:paraId="5200BF45" w14:textId="77777777" w:rsidR="00243A3F" w:rsidRPr="006D26BB" w:rsidRDefault="00243A3F" w:rsidP="005C1CFC">
            <w:pPr>
              <w:spacing w:after="0" w:line="240" w:lineRule="auto"/>
              <w:rPr>
                <w:rFonts w:asciiTheme="minorHAnsi" w:hAnsiTheme="minorHAnsi" w:cstheme="minorHAnsi"/>
                <w:b/>
                <w:color w:val="000000" w:themeColor="text1"/>
                <w:sz w:val="20"/>
                <w:szCs w:val="20"/>
              </w:rPr>
            </w:pPr>
            <w:r w:rsidRPr="006D26BB">
              <w:rPr>
                <w:rFonts w:asciiTheme="minorHAnsi" w:hAnsiTheme="minorHAnsi" w:cstheme="minorHAnsi"/>
                <w:b/>
                <w:color w:val="000000" w:themeColor="text1"/>
                <w:sz w:val="20"/>
                <w:szCs w:val="20"/>
              </w:rPr>
              <w:t> </w:t>
            </w:r>
          </w:p>
        </w:tc>
        <w:tc>
          <w:tcPr>
            <w:tcW w:w="1278" w:type="dxa"/>
            <w:tcBorders>
              <w:top w:val="nil"/>
              <w:left w:val="nil"/>
              <w:bottom w:val="nil"/>
              <w:right w:val="nil"/>
            </w:tcBorders>
            <w:shd w:val="clear" w:color="000000" w:fill="FFFFFF"/>
            <w:noWrap/>
            <w:vAlign w:val="bottom"/>
            <w:hideMark/>
          </w:tcPr>
          <w:p w14:paraId="01B6AA17" w14:textId="448440CD" w:rsidR="00243A3F" w:rsidRPr="006D26BB" w:rsidRDefault="00243A3F" w:rsidP="005C1CFC">
            <w:pPr>
              <w:spacing w:after="0" w:line="240" w:lineRule="auto"/>
              <w:jc w:val="right"/>
              <w:rPr>
                <w:rFonts w:asciiTheme="minorHAnsi" w:hAnsiTheme="minorHAnsi" w:cstheme="minorHAnsi"/>
                <w:b/>
                <w:color w:val="000000" w:themeColor="text1"/>
                <w:sz w:val="20"/>
                <w:szCs w:val="20"/>
              </w:rPr>
            </w:pPr>
            <w:r w:rsidRPr="006D26BB">
              <w:rPr>
                <w:rFonts w:asciiTheme="minorHAnsi" w:hAnsiTheme="minorHAnsi" w:cstheme="minorHAnsi"/>
                <w:b/>
                <w:color w:val="000000" w:themeColor="text1"/>
                <w:sz w:val="20"/>
                <w:szCs w:val="20"/>
              </w:rPr>
              <w:t>31 J</w:t>
            </w:r>
            <w:r w:rsidR="00085871" w:rsidRPr="006D26BB">
              <w:rPr>
                <w:rFonts w:asciiTheme="minorHAnsi" w:hAnsiTheme="minorHAnsi" w:cstheme="minorHAnsi"/>
                <w:b/>
                <w:color w:val="000000" w:themeColor="text1"/>
                <w:sz w:val="20"/>
                <w:szCs w:val="20"/>
              </w:rPr>
              <w:t>anuary</w:t>
            </w:r>
            <w:r w:rsidRPr="006D26BB">
              <w:rPr>
                <w:rFonts w:asciiTheme="minorHAnsi" w:hAnsiTheme="minorHAnsi" w:cstheme="minorHAnsi"/>
                <w:b/>
                <w:color w:val="000000" w:themeColor="text1"/>
                <w:sz w:val="20"/>
                <w:szCs w:val="20"/>
              </w:rPr>
              <w:t xml:space="preserve"> 202</w:t>
            </w:r>
            <w:r w:rsidR="00085871" w:rsidRPr="006D26BB">
              <w:rPr>
                <w:rFonts w:asciiTheme="minorHAnsi" w:hAnsiTheme="minorHAnsi" w:cstheme="minorHAnsi"/>
                <w:b/>
                <w:color w:val="000000" w:themeColor="text1"/>
                <w:sz w:val="20"/>
                <w:szCs w:val="20"/>
              </w:rPr>
              <w:t>3</w:t>
            </w:r>
          </w:p>
        </w:tc>
        <w:tc>
          <w:tcPr>
            <w:tcW w:w="1278" w:type="dxa"/>
            <w:tcBorders>
              <w:top w:val="nil"/>
              <w:left w:val="nil"/>
              <w:bottom w:val="nil"/>
              <w:right w:val="nil"/>
            </w:tcBorders>
            <w:shd w:val="clear" w:color="000000" w:fill="FFFFFF"/>
            <w:noWrap/>
            <w:vAlign w:val="bottom"/>
            <w:hideMark/>
          </w:tcPr>
          <w:p w14:paraId="57A7D6AC" w14:textId="1F3F294A" w:rsidR="00243A3F" w:rsidRPr="006D26BB" w:rsidRDefault="00243A3F" w:rsidP="005C1CFC">
            <w:pPr>
              <w:spacing w:after="0" w:line="240" w:lineRule="auto"/>
              <w:jc w:val="right"/>
              <w:rPr>
                <w:rFonts w:asciiTheme="minorHAnsi" w:hAnsiTheme="minorHAnsi" w:cstheme="minorHAnsi"/>
                <w:b/>
                <w:color w:val="000000" w:themeColor="text1"/>
                <w:sz w:val="20"/>
                <w:szCs w:val="20"/>
              </w:rPr>
            </w:pPr>
            <w:r w:rsidRPr="006D26BB">
              <w:rPr>
                <w:rFonts w:asciiTheme="minorHAnsi" w:hAnsiTheme="minorHAnsi" w:cstheme="minorHAnsi"/>
                <w:b/>
                <w:color w:val="000000" w:themeColor="text1"/>
                <w:sz w:val="20"/>
                <w:szCs w:val="20"/>
              </w:rPr>
              <w:t>31 J</w:t>
            </w:r>
            <w:r w:rsidR="009E4051" w:rsidRPr="006D26BB">
              <w:rPr>
                <w:rFonts w:asciiTheme="minorHAnsi" w:hAnsiTheme="minorHAnsi" w:cstheme="minorHAnsi"/>
                <w:b/>
                <w:color w:val="000000" w:themeColor="text1"/>
                <w:sz w:val="20"/>
                <w:szCs w:val="20"/>
              </w:rPr>
              <w:t>anuary</w:t>
            </w:r>
            <w:r w:rsidRPr="006D26BB">
              <w:rPr>
                <w:rFonts w:asciiTheme="minorHAnsi" w:hAnsiTheme="minorHAnsi" w:cstheme="minorHAnsi"/>
                <w:b/>
                <w:color w:val="000000" w:themeColor="text1"/>
                <w:sz w:val="20"/>
                <w:szCs w:val="20"/>
              </w:rPr>
              <w:t xml:space="preserve"> 202</w:t>
            </w:r>
            <w:r w:rsidR="00085871" w:rsidRPr="006D26BB">
              <w:rPr>
                <w:rFonts w:asciiTheme="minorHAnsi" w:hAnsiTheme="minorHAnsi" w:cstheme="minorHAnsi"/>
                <w:b/>
                <w:color w:val="000000" w:themeColor="text1"/>
                <w:sz w:val="20"/>
                <w:szCs w:val="20"/>
              </w:rPr>
              <w:t>2</w:t>
            </w:r>
          </w:p>
        </w:tc>
        <w:tc>
          <w:tcPr>
            <w:tcW w:w="1278" w:type="dxa"/>
            <w:tcBorders>
              <w:top w:val="nil"/>
              <w:left w:val="nil"/>
              <w:bottom w:val="nil"/>
              <w:right w:val="nil"/>
            </w:tcBorders>
            <w:shd w:val="clear" w:color="000000" w:fill="FFFFFF"/>
            <w:noWrap/>
            <w:vAlign w:val="bottom"/>
            <w:hideMark/>
          </w:tcPr>
          <w:p w14:paraId="5CE365AB" w14:textId="77777777" w:rsidR="00243A3F" w:rsidRPr="006D26BB" w:rsidRDefault="00243A3F" w:rsidP="005C1CFC">
            <w:pPr>
              <w:spacing w:after="0" w:line="240" w:lineRule="auto"/>
              <w:jc w:val="right"/>
              <w:rPr>
                <w:rFonts w:asciiTheme="minorHAnsi" w:hAnsiTheme="minorHAnsi" w:cstheme="minorHAnsi"/>
                <w:b/>
                <w:color w:val="000000" w:themeColor="text1"/>
                <w:sz w:val="20"/>
                <w:szCs w:val="20"/>
              </w:rPr>
            </w:pPr>
            <w:r w:rsidRPr="006D26BB">
              <w:rPr>
                <w:rFonts w:asciiTheme="minorHAnsi" w:hAnsiTheme="minorHAnsi" w:cstheme="minorHAnsi"/>
                <w:b/>
                <w:color w:val="000000" w:themeColor="text1"/>
                <w:sz w:val="20"/>
                <w:szCs w:val="20"/>
              </w:rPr>
              <w:t xml:space="preserve">           Change</w:t>
            </w:r>
          </w:p>
        </w:tc>
        <w:tc>
          <w:tcPr>
            <w:tcW w:w="1279" w:type="dxa"/>
            <w:tcBorders>
              <w:top w:val="nil"/>
              <w:left w:val="nil"/>
              <w:bottom w:val="nil"/>
              <w:right w:val="nil"/>
            </w:tcBorders>
            <w:shd w:val="clear" w:color="000000" w:fill="FFFFFF"/>
            <w:noWrap/>
            <w:vAlign w:val="bottom"/>
            <w:hideMark/>
          </w:tcPr>
          <w:p w14:paraId="1AC03228" w14:textId="77777777" w:rsidR="00243A3F" w:rsidRPr="006D26BB" w:rsidRDefault="00243A3F" w:rsidP="005C1CFC">
            <w:pPr>
              <w:spacing w:after="0" w:line="240" w:lineRule="auto"/>
              <w:jc w:val="right"/>
              <w:rPr>
                <w:rFonts w:asciiTheme="minorHAnsi" w:hAnsiTheme="minorHAnsi" w:cstheme="minorHAnsi"/>
                <w:b/>
                <w:color w:val="000000" w:themeColor="text1"/>
                <w:sz w:val="20"/>
                <w:szCs w:val="20"/>
              </w:rPr>
            </w:pPr>
            <w:r w:rsidRPr="006D26BB">
              <w:rPr>
                <w:rFonts w:asciiTheme="minorHAnsi" w:hAnsiTheme="minorHAnsi" w:cstheme="minorHAnsi"/>
                <w:b/>
                <w:color w:val="000000" w:themeColor="text1"/>
                <w:sz w:val="20"/>
                <w:szCs w:val="20"/>
              </w:rPr>
              <w:t xml:space="preserve">      Change</w:t>
            </w:r>
          </w:p>
        </w:tc>
      </w:tr>
      <w:tr w:rsidR="00243A3F" w:rsidRPr="006D26BB" w14:paraId="5FD67634" w14:textId="77777777" w:rsidTr="00997EF7">
        <w:trPr>
          <w:trHeight w:val="246"/>
        </w:trPr>
        <w:tc>
          <w:tcPr>
            <w:tcW w:w="4111" w:type="dxa"/>
            <w:tcBorders>
              <w:top w:val="nil"/>
              <w:left w:val="nil"/>
              <w:bottom w:val="single" w:sz="4" w:space="0" w:color="auto"/>
              <w:right w:val="nil"/>
            </w:tcBorders>
            <w:shd w:val="clear" w:color="000000" w:fill="FFFFFF"/>
            <w:vAlign w:val="center"/>
            <w:hideMark/>
          </w:tcPr>
          <w:p w14:paraId="6C5F9B86" w14:textId="77777777" w:rsidR="00243A3F" w:rsidRPr="006D26BB" w:rsidRDefault="00243A3F" w:rsidP="005C1CFC">
            <w:pPr>
              <w:spacing w:after="0" w:line="240" w:lineRule="auto"/>
              <w:rPr>
                <w:rFonts w:asciiTheme="minorHAnsi" w:hAnsiTheme="minorHAnsi" w:cstheme="minorHAnsi"/>
                <w:b/>
                <w:color w:val="000000" w:themeColor="text1"/>
                <w:sz w:val="20"/>
                <w:szCs w:val="20"/>
              </w:rPr>
            </w:pPr>
            <w:r w:rsidRPr="006D26BB">
              <w:rPr>
                <w:rFonts w:asciiTheme="minorHAnsi" w:hAnsiTheme="minorHAnsi" w:cstheme="minorHAnsi"/>
                <w:b/>
                <w:color w:val="000000" w:themeColor="text1"/>
                <w:sz w:val="20"/>
                <w:szCs w:val="20"/>
              </w:rPr>
              <w:t> </w:t>
            </w:r>
          </w:p>
        </w:tc>
        <w:tc>
          <w:tcPr>
            <w:tcW w:w="1278" w:type="dxa"/>
            <w:tcBorders>
              <w:top w:val="nil"/>
              <w:left w:val="nil"/>
              <w:bottom w:val="single" w:sz="4" w:space="0" w:color="auto"/>
              <w:right w:val="nil"/>
            </w:tcBorders>
            <w:shd w:val="clear" w:color="000000" w:fill="FFFFFF"/>
            <w:vAlign w:val="center"/>
            <w:hideMark/>
          </w:tcPr>
          <w:p w14:paraId="2ADE55DF" w14:textId="77777777" w:rsidR="00243A3F" w:rsidRPr="006D26BB" w:rsidRDefault="00243A3F" w:rsidP="005C1CFC">
            <w:pPr>
              <w:spacing w:after="0" w:line="240" w:lineRule="auto"/>
              <w:jc w:val="right"/>
              <w:rPr>
                <w:rFonts w:asciiTheme="minorHAnsi" w:hAnsiTheme="minorHAnsi" w:cstheme="minorHAnsi"/>
                <w:b/>
                <w:color w:val="000000" w:themeColor="text1"/>
                <w:sz w:val="20"/>
                <w:szCs w:val="20"/>
              </w:rPr>
            </w:pPr>
            <w:r w:rsidRPr="006D26BB">
              <w:rPr>
                <w:rFonts w:asciiTheme="minorHAnsi" w:hAnsiTheme="minorHAnsi" w:cstheme="minorHAnsi"/>
                <w:b/>
                <w:color w:val="000000" w:themeColor="text1"/>
                <w:sz w:val="20"/>
                <w:szCs w:val="20"/>
              </w:rPr>
              <w:t>£'000</w:t>
            </w:r>
          </w:p>
        </w:tc>
        <w:tc>
          <w:tcPr>
            <w:tcW w:w="1278" w:type="dxa"/>
            <w:tcBorders>
              <w:top w:val="nil"/>
              <w:left w:val="nil"/>
              <w:bottom w:val="single" w:sz="4" w:space="0" w:color="auto"/>
              <w:right w:val="nil"/>
            </w:tcBorders>
            <w:shd w:val="clear" w:color="000000" w:fill="FFFFFF"/>
            <w:vAlign w:val="center"/>
            <w:hideMark/>
          </w:tcPr>
          <w:p w14:paraId="2E911EF5" w14:textId="77777777" w:rsidR="00243A3F" w:rsidRPr="006D26BB" w:rsidRDefault="00243A3F" w:rsidP="005C1CFC">
            <w:pPr>
              <w:spacing w:after="0" w:line="240" w:lineRule="auto"/>
              <w:jc w:val="right"/>
              <w:rPr>
                <w:rFonts w:asciiTheme="minorHAnsi" w:hAnsiTheme="minorHAnsi" w:cstheme="minorHAnsi"/>
                <w:b/>
                <w:color w:val="000000" w:themeColor="text1"/>
                <w:sz w:val="20"/>
                <w:szCs w:val="20"/>
              </w:rPr>
            </w:pPr>
            <w:r w:rsidRPr="006D26BB">
              <w:rPr>
                <w:rFonts w:asciiTheme="minorHAnsi" w:hAnsiTheme="minorHAnsi" w:cstheme="minorHAnsi"/>
                <w:b/>
                <w:color w:val="000000" w:themeColor="text1"/>
                <w:sz w:val="20"/>
                <w:szCs w:val="20"/>
              </w:rPr>
              <w:t>£'000</w:t>
            </w:r>
          </w:p>
        </w:tc>
        <w:tc>
          <w:tcPr>
            <w:tcW w:w="1278" w:type="dxa"/>
            <w:tcBorders>
              <w:top w:val="nil"/>
              <w:left w:val="nil"/>
              <w:bottom w:val="single" w:sz="4" w:space="0" w:color="auto"/>
              <w:right w:val="nil"/>
            </w:tcBorders>
            <w:shd w:val="clear" w:color="000000" w:fill="FFFFFF"/>
            <w:vAlign w:val="center"/>
            <w:hideMark/>
          </w:tcPr>
          <w:p w14:paraId="105D79C5" w14:textId="77777777" w:rsidR="00243A3F" w:rsidRPr="006D26BB" w:rsidRDefault="00243A3F" w:rsidP="005C1CFC">
            <w:pPr>
              <w:spacing w:after="0" w:line="240" w:lineRule="auto"/>
              <w:jc w:val="right"/>
              <w:rPr>
                <w:rFonts w:asciiTheme="minorHAnsi" w:hAnsiTheme="minorHAnsi" w:cstheme="minorHAnsi"/>
                <w:b/>
                <w:color w:val="000000" w:themeColor="text1"/>
                <w:sz w:val="20"/>
                <w:szCs w:val="20"/>
              </w:rPr>
            </w:pPr>
            <w:r w:rsidRPr="006D26BB">
              <w:rPr>
                <w:rFonts w:asciiTheme="minorHAnsi" w:hAnsiTheme="minorHAnsi" w:cstheme="minorHAnsi"/>
                <w:b/>
                <w:color w:val="000000" w:themeColor="text1"/>
                <w:sz w:val="20"/>
                <w:szCs w:val="20"/>
              </w:rPr>
              <w:t>£'000</w:t>
            </w:r>
          </w:p>
        </w:tc>
        <w:tc>
          <w:tcPr>
            <w:tcW w:w="1279" w:type="dxa"/>
            <w:tcBorders>
              <w:top w:val="nil"/>
              <w:left w:val="nil"/>
              <w:bottom w:val="single" w:sz="4" w:space="0" w:color="auto"/>
              <w:right w:val="nil"/>
            </w:tcBorders>
            <w:shd w:val="clear" w:color="000000" w:fill="FFFFFF"/>
            <w:vAlign w:val="center"/>
            <w:hideMark/>
          </w:tcPr>
          <w:p w14:paraId="6D152918" w14:textId="77777777" w:rsidR="00243A3F" w:rsidRPr="006D26BB" w:rsidRDefault="00243A3F" w:rsidP="005C1CFC">
            <w:pPr>
              <w:spacing w:after="0" w:line="240" w:lineRule="auto"/>
              <w:jc w:val="right"/>
              <w:rPr>
                <w:rFonts w:asciiTheme="minorHAnsi" w:hAnsiTheme="minorHAnsi" w:cstheme="minorHAnsi"/>
                <w:b/>
                <w:color w:val="000000" w:themeColor="text1"/>
                <w:sz w:val="20"/>
                <w:szCs w:val="20"/>
              </w:rPr>
            </w:pPr>
            <w:r w:rsidRPr="006D26BB">
              <w:rPr>
                <w:rFonts w:asciiTheme="minorHAnsi" w:hAnsiTheme="minorHAnsi" w:cstheme="minorHAnsi"/>
                <w:b/>
                <w:color w:val="000000" w:themeColor="text1"/>
                <w:sz w:val="20"/>
                <w:szCs w:val="20"/>
              </w:rPr>
              <w:t>%</w:t>
            </w:r>
          </w:p>
        </w:tc>
      </w:tr>
      <w:tr w:rsidR="009E4051" w:rsidRPr="006D26BB" w14:paraId="4457C462" w14:textId="77777777" w:rsidTr="00997EF7">
        <w:trPr>
          <w:trHeight w:val="123"/>
        </w:trPr>
        <w:tc>
          <w:tcPr>
            <w:tcW w:w="4111" w:type="dxa"/>
            <w:tcBorders>
              <w:top w:val="nil"/>
              <w:left w:val="nil"/>
              <w:bottom w:val="nil"/>
              <w:right w:val="nil"/>
            </w:tcBorders>
            <w:shd w:val="clear" w:color="000000" w:fill="FFFFFF"/>
            <w:noWrap/>
            <w:vAlign w:val="bottom"/>
            <w:hideMark/>
          </w:tcPr>
          <w:p w14:paraId="418185BA" w14:textId="551FCBAE" w:rsidR="009E4051" w:rsidRPr="006D26BB" w:rsidRDefault="009E4051" w:rsidP="009E4051">
            <w:pPr>
              <w:spacing w:after="0" w:line="240" w:lineRule="auto"/>
              <w:rPr>
                <w:rFonts w:asciiTheme="minorHAnsi" w:hAnsiTheme="minorHAnsi" w:cstheme="minorHAnsi"/>
                <w:bCs/>
                <w:color w:val="000000" w:themeColor="text1"/>
                <w:sz w:val="20"/>
                <w:szCs w:val="20"/>
              </w:rPr>
            </w:pPr>
            <w:r w:rsidRPr="006D26BB">
              <w:rPr>
                <w:rFonts w:asciiTheme="minorHAnsi" w:hAnsiTheme="minorHAnsi" w:cstheme="minorHAnsi"/>
                <w:sz w:val="20"/>
                <w:szCs w:val="20"/>
              </w:rPr>
              <w:t>Cash</w:t>
            </w:r>
          </w:p>
        </w:tc>
        <w:tc>
          <w:tcPr>
            <w:tcW w:w="1278" w:type="dxa"/>
            <w:tcBorders>
              <w:top w:val="nil"/>
              <w:left w:val="nil"/>
              <w:bottom w:val="nil"/>
              <w:right w:val="nil"/>
            </w:tcBorders>
            <w:shd w:val="clear" w:color="000000" w:fill="FFFFFF"/>
            <w:noWrap/>
            <w:vAlign w:val="bottom"/>
          </w:tcPr>
          <w:p w14:paraId="20F40C6F" w14:textId="1B9591EC" w:rsidR="009E4051" w:rsidRPr="006D26BB" w:rsidRDefault="00CF2F20" w:rsidP="009E4051">
            <w:pPr>
              <w:spacing w:after="0" w:line="240" w:lineRule="auto"/>
              <w:jc w:val="right"/>
              <w:rPr>
                <w:rFonts w:asciiTheme="minorHAnsi" w:hAnsiTheme="minorHAnsi" w:cstheme="minorHAnsi"/>
                <w:bCs/>
                <w:color w:val="000000" w:themeColor="text1"/>
                <w:sz w:val="20"/>
                <w:szCs w:val="20"/>
              </w:rPr>
            </w:pPr>
            <w:r>
              <w:rPr>
                <w:rFonts w:asciiTheme="minorHAnsi" w:hAnsiTheme="minorHAnsi" w:cstheme="minorHAnsi"/>
                <w:sz w:val="20"/>
                <w:szCs w:val="20"/>
              </w:rPr>
              <w:t>5,004</w:t>
            </w:r>
            <w:r w:rsidR="009E4051" w:rsidRPr="006D26BB">
              <w:rPr>
                <w:rFonts w:asciiTheme="minorHAnsi" w:hAnsiTheme="minorHAnsi" w:cstheme="minorHAnsi"/>
                <w:sz w:val="20"/>
                <w:szCs w:val="20"/>
              </w:rPr>
              <w:t xml:space="preserve"> </w:t>
            </w:r>
          </w:p>
        </w:tc>
        <w:tc>
          <w:tcPr>
            <w:tcW w:w="1278" w:type="dxa"/>
            <w:tcBorders>
              <w:top w:val="nil"/>
              <w:left w:val="nil"/>
              <w:bottom w:val="nil"/>
              <w:right w:val="nil"/>
            </w:tcBorders>
            <w:shd w:val="clear" w:color="000000" w:fill="FFFFFF"/>
            <w:noWrap/>
            <w:vAlign w:val="bottom"/>
          </w:tcPr>
          <w:p w14:paraId="4D8DCC53" w14:textId="05C882C8" w:rsidR="009E4051" w:rsidRPr="006D26BB" w:rsidRDefault="009E4051" w:rsidP="009E4051">
            <w:pPr>
              <w:spacing w:after="0" w:line="240" w:lineRule="auto"/>
              <w:jc w:val="right"/>
              <w:rPr>
                <w:rFonts w:asciiTheme="minorHAnsi" w:hAnsiTheme="minorHAnsi" w:cstheme="minorHAnsi"/>
                <w:bCs/>
                <w:color w:val="000000" w:themeColor="text1"/>
                <w:sz w:val="20"/>
                <w:szCs w:val="20"/>
              </w:rPr>
            </w:pPr>
            <w:r w:rsidRPr="006D26BB">
              <w:rPr>
                <w:rFonts w:asciiTheme="minorHAnsi" w:hAnsiTheme="minorHAnsi" w:cstheme="minorHAnsi"/>
                <w:sz w:val="20"/>
                <w:szCs w:val="20"/>
              </w:rPr>
              <w:t xml:space="preserve">257 </w:t>
            </w:r>
          </w:p>
        </w:tc>
        <w:tc>
          <w:tcPr>
            <w:tcW w:w="1278" w:type="dxa"/>
            <w:tcBorders>
              <w:top w:val="nil"/>
              <w:left w:val="nil"/>
              <w:bottom w:val="nil"/>
              <w:right w:val="nil"/>
            </w:tcBorders>
            <w:shd w:val="clear" w:color="000000" w:fill="FFFFFF"/>
            <w:noWrap/>
            <w:vAlign w:val="bottom"/>
          </w:tcPr>
          <w:p w14:paraId="53E4695D" w14:textId="633C599C" w:rsidR="009E4051" w:rsidRPr="006D26BB" w:rsidRDefault="00F424B9" w:rsidP="009E4051">
            <w:pPr>
              <w:spacing w:after="0" w:line="240" w:lineRule="auto"/>
              <w:jc w:val="right"/>
              <w:rPr>
                <w:rFonts w:asciiTheme="minorHAnsi" w:hAnsiTheme="minorHAnsi" w:cstheme="minorHAnsi"/>
                <w:bCs/>
                <w:color w:val="000000" w:themeColor="text1"/>
                <w:sz w:val="20"/>
                <w:szCs w:val="20"/>
              </w:rPr>
            </w:pPr>
            <w:r>
              <w:rPr>
                <w:rFonts w:asciiTheme="minorHAnsi" w:hAnsiTheme="minorHAnsi" w:cstheme="minorHAnsi"/>
                <w:sz w:val="20"/>
                <w:szCs w:val="20"/>
              </w:rPr>
              <w:t>4,747</w:t>
            </w:r>
            <w:r w:rsidR="009E4051" w:rsidRPr="006D26BB">
              <w:rPr>
                <w:rFonts w:asciiTheme="minorHAnsi" w:hAnsiTheme="minorHAnsi" w:cstheme="minorHAnsi"/>
                <w:sz w:val="20"/>
                <w:szCs w:val="20"/>
              </w:rPr>
              <w:t xml:space="preserve"> </w:t>
            </w:r>
          </w:p>
        </w:tc>
        <w:tc>
          <w:tcPr>
            <w:tcW w:w="1279" w:type="dxa"/>
            <w:tcBorders>
              <w:top w:val="nil"/>
              <w:left w:val="nil"/>
              <w:bottom w:val="nil"/>
              <w:right w:val="nil"/>
            </w:tcBorders>
            <w:shd w:val="clear" w:color="000000" w:fill="FFFFFF"/>
            <w:noWrap/>
            <w:vAlign w:val="bottom"/>
          </w:tcPr>
          <w:p w14:paraId="7CAAED1F" w14:textId="1D46A3AB" w:rsidR="009E4051" w:rsidRPr="006D26BB" w:rsidRDefault="00173F81" w:rsidP="009E4051">
            <w:pPr>
              <w:spacing w:after="0" w:line="240" w:lineRule="auto"/>
              <w:jc w:val="right"/>
              <w:rPr>
                <w:rFonts w:asciiTheme="minorHAnsi" w:hAnsiTheme="minorHAnsi" w:cstheme="minorHAnsi"/>
                <w:bCs/>
                <w:color w:val="000000" w:themeColor="text1"/>
                <w:sz w:val="20"/>
                <w:szCs w:val="20"/>
              </w:rPr>
            </w:pPr>
            <w:r>
              <w:rPr>
                <w:rFonts w:asciiTheme="minorHAnsi" w:hAnsiTheme="minorHAnsi" w:cstheme="minorHAnsi"/>
                <w:color w:val="000000"/>
                <w:sz w:val="20"/>
                <w:szCs w:val="20"/>
              </w:rPr>
              <w:t>1847</w:t>
            </w:r>
            <w:r w:rsidR="009E4051" w:rsidRPr="006D26BB">
              <w:rPr>
                <w:rFonts w:asciiTheme="minorHAnsi" w:hAnsiTheme="minorHAnsi" w:cstheme="minorHAnsi"/>
                <w:color w:val="000000"/>
                <w:sz w:val="20"/>
                <w:szCs w:val="20"/>
              </w:rPr>
              <w:t>%</w:t>
            </w:r>
          </w:p>
        </w:tc>
      </w:tr>
      <w:tr w:rsidR="009E4051" w:rsidRPr="006D26BB" w14:paraId="5FC7C80F" w14:textId="77777777" w:rsidTr="00997EF7">
        <w:trPr>
          <w:trHeight w:val="246"/>
        </w:trPr>
        <w:tc>
          <w:tcPr>
            <w:tcW w:w="4111" w:type="dxa"/>
            <w:tcBorders>
              <w:top w:val="nil"/>
              <w:left w:val="nil"/>
              <w:bottom w:val="nil"/>
              <w:right w:val="nil"/>
            </w:tcBorders>
            <w:shd w:val="clear" w:color="000000" w:fill="FFFFFF"/>
            <w:noWrap/>
            <w:vAlign w:val="bottom"/>
            <w:hideMark/>
          </w:tcPr>
          <w:p w14:paraId="00ADF217" w14:textId="63FFA7E2" w:rsidR="009E4051" w:rsidRPr="006D26BB" w:rsidRDefault="009E4051" w:rsidP="009E4051">
            <w:pPr>
              <w:spacing w:after="0" w:line="240" w:lineRule="auto"/>
              <w:rPr>
                <w:rFonts w:asciiTheme="minorHAnsi" w:hAnsiTheme="minorHAnsi" w:cstheme="minorHAnsi"/>
                <w:bCs/>
                <w:color w:val="000000" w:themeColor="text1"/>
                <w:sz w:val="20"/>
                <w:szCs w:val="20"/>
              </w:rPr>
            </w:pPr>
            <w:r w:rsidRPr="006D26BB">
              <w:rPr>
                <w:rFonts w:asciiTheme="minorHAnsi" w:hAnsiTheme="minorHAnsi" w:cstheme="minorHAnsi"/>
                <w:sz w:val="20"/>
                <w:szCs w:val="20"/>
              </w:rPr>
              <w:t>RCF/Overdraft</w:t>
            </w:r>
          </w:p>
        </w:tc>
        <w:tc>
          <w:tcPr>
            <w:tcW w:w="1278" w:type="dxa"/>
            <w:tcBorders>
              <w:top w:val="nil"/>
              <w:left w:val="nil"/>
              <w:bottom w:val="nil"/>
              <w:right w:val="nil"/>
            </w:tcBorders>
            <w:shd w:val="clear" w:color="000000" w:fill="FFFFFF"/>
            <w:noWrap/>
            <w:vAlign w:val="bottom"/>
          </w:tcPr>
          <w:p w14:paraId="2C2D08CA" w14:textId="540BCB8C" w:rsidR="009E4051" w:rsidRPr="006D26BB" w:rsidRDefault="009E4051" w:rsidP="009E4051">
            <w:pPr>
              <w:spacing w:after="0" w:line="240" w:lineRule="auto"/>
              <w:jc w:val="right"/>
              <w:rPr>
                <w:rFonts w:asciiTheme="minorHAnsi" w:hAnsiTheme="minorHAnsi" w:cstheme="minorHAnsi"/>
                <w:bCs/>
                <w:color w:val="000000" w:themeColor="text1"/>
                <w:sz w:val="20"/>
                <w:szCs w:val="20"/>
              </w:rPr>
            </w:pPr>
            <w:r w:rsidRPr="006D26BB">
              <w:rPr>
                <w:rFonts w:asciiTheme="minorHAnsi" w:hAnsiTheme="minorHAnsi" w:cstheme="minorHAnsi"/>
                <w:sz w:val="20"/>
                <w:szCs w:val="20"/>
              </w:rPr>
              <w:t>(</w:t>
            </w:r>
            <w:r w:rsidR="00CF2F20">
              <w:rPr>
                <w:rFonts w:asciiTheme="minorHAnsi" w:hAnsiTheme="minorHAnsi" w:cstheme="minorHAnsi"/>
                <w:sz w:val="20"/>
                <w:szCs w:val="20"/>
              </w:rPr>
              <w:t>7,097</w:t>
            </w:r>
            <w:r w:rsidRPr="006D26BB">
              <w:rPr>
                <w:rFonts w:asciiTheme="minorHAnsi" w:hAnsiTheme="minorHAnsi" w:cstheme="minorHAnsi"/>
                <w:sz w:val="20"/>
                <w:szCs w:val="20"/>
              </w:rPr>
              <w:t>)</w:t>
            </w:r>
          </w:p>
        </w:tc>
        <w:tc>
          <w:tcPr>
            <w:tcW w:w="1278" w:type="dxa"/>
            <w:tcBorders>
              <w:top w:val="nil"/>
              <w:left w:val="nil"/>
              <w:bottom w:val="nil"/>
              <w:right w:val="nil"/>
            </w:tcBorders>
            <w:shd w:val="clear" w:color="000000" w:fill="FFFFFF"/>
            <w:noWrap/>
            <w:vAlign w:val="bottom"/>
          </w:tcPr>
          <w:p w14:paraId="56B6FC35" w14:textId="3A01A379" w:rsidR="009E4051" w:rsidRPr="006D26BB" w:rsidRDefault="009E4051" w:rsidP="009E4051">
            <w:pPr>
              <w:spacing w:after="0" w:line="240" w:lineRule="auto"/>
              <w:jc w:val="right"/>
              <w:rPr>
                <w:rFonts w:asciiTheme="minorHAnsi" w:hAnsiTheme="minorHAnsi" w:cstheme="minorHAnsi"/>
                <w:bCs/>
                <w:color w:val="000000" w:themeColor="text1"/>
                <w:sz w:val="20"/>
                <w:szCs w:val="20"/>
              </w:rPr>
            </w:pPr>
            <w:r w:rsidRPr="006D26BB">
              <w:rPr>
                <w:rFonts w:asciiTheme="minorHAnsi" w:hAnsiTheme="minorHAnsi" w:cstheme="minorHAnsi"/>
                <w:sz w:val="20"/>
                <w:szCs w:val="20"/>
              </w:rPr>
              <w:t>(3,34</w:t>
            </w:r>
            <w:r w:rsidR="001D7BA0">
              <w:rPr>
                <w:rFonts w:asciiTheme="minorHAnsi" w:hAnsiTheme="minorHAnsi" w:cstheme="minorHAnsi"/>
                <w:sz w:val="20"/>
                <w:szCs w:val="20"/>
              </w:rPr>
              <w:t>3</w:t>
            </w:r>
            <w:r w:rsidRPr="006D26BB">
              <w:rPr>
                <w:rFonts w:asciiTheme="minorHAnsi" w:hAnsiTheme="minorHAnsi" w:cstheme="minorHAnsi"/>
                <w:sz w:val="20"/>
                <w:szCs w:val="20"/>
              </w:rPr>
              <w:t>)</w:t>
            </w:r>
          </w:p>
        </w:tc>
        <w:tc>
          <w:tcPr>
            <w:tcW w:w="1278" w:type="dxa"/>
            <w:tcBorders>
              <w:top w:val="nil"/>
              <w:left w:val="nil"/>
              <w:bottom w:val="nil"/>
              <w:right w:val="nil"/>
            </w:tcBorders>
            <w:shd w:val="clear" w:color="000000" w:fill="FFFFFF"/>
            <w:noWrap/>
            <w:vAlign w:val="bottom"/>
          </w:tcPr>
          <w:p w14:paraId="44F665E4" w14:textId="6BE93651" w:rsidR="009E4051" w:rsidRPr="006D26BB" w:rsidRDefault="009E4051" w:rsidP="009E4051">
            <w:pPr>
              <w:spacing w:after="0" w:line="240" w:lineRule="auto"/>
              <w:jc w:val="right"/>
              <w:rPr>
                <w:rFonts w:asciiTheme="minorHAnsi" w:hAnsiTheme="minorHAnsi" w:cstheme="minorHAnsi"/>
                <w:bCs/>
                <w:color w:val="000000" w:themeColor="text1"/>
                <w:sz w:val="20"/>
                <w:szCs w:val="20"/>
              </w:rPr>
            </w:pPr>
            <w:r w:rsidRPr="006D26BB">
              <w:rPr>
                <w:rFonts w:asciiTheme="minorHAnsi" w:hAnsiTheme="minorHAnsi" w:cstheme="minorHAnsi"/>
                <w:sz w:val="20"/>
                <w:szCs w:val="20"/>
              </w:rPr>
              <w:t>(3,</w:t>
            </w:r>
            <w:r w:rsidR="00F424B9">
              <w:rPr>
                <w:rFonts w:asciiTheme="minorHAnsi" w:hAnsiTheme="minorHAnsi" w:cstheme="minorHAnsi"/>
                <w:sz w:val="20"/>
                <w:szCs w:val="20"/>
              </w:rPr>
              <w:t>754</w:t>
            </w:r>
            <w:r w:rsidRPr="006D26BB">
              <w:rPr>
                <w:rFonts w:asciiTheme="minorHAnsi" w:hAnsiTheme="minorHAnsi" w:cstheme="minorHAnsi"/>
                <w:sz w:val="20"/>
                <w:szCs w:val="20"/>
              </w:rPr>
              <w:t>)</w:t>
            </w:r>
          </w:p>
        </w:tc>
        <w:tc>
          <w:tcPr>
            <w:tcW w:w="1279" w:type="dxa"/>
            <w:tcBorders>
              <w:top w:val="nil"/>
              <w:left w:val="nil"/>
              <w:bottom w:val="nil"/>
              <w:right w:val="nil"/>
            </w:tcBorders>
            <w:shd w:val="clear" w:color="000000" w:fill="FFFFFF"/>
            <w:noWrap/>
            <w:vAlign w:val="bottom"/>
          </w:tcPr>
          <w:p w14:paraId="3BAFBBE3" w14:textId="6CD5A7B3" w:rsidR="009E4051" w:rsidRPr="006D26BB" w:rsidRDefault="00173F81" w:rsidP="009E4051">
            <w:pPr>
              <w:spacing w:after="0" w:line="240" w:lineRule="auto"/>
              <w:jc w:val="right"/>
              <w:rPr>
                <w:rFonts w:asciiTheme="minorHAnsi" w:hAnsiTheme="minorHAnsi" w:cstheme="minorHAnsi"/>
                <w:bCs/>
                <w:color w:val="000000" w:themeColor="text1"/>
                <w:sz w:val="20"/>
                <w:szCs w:val="20"/>
              </w:rPr>
            </w:pPr>
            <w:r>
              <w:rPr>
                <w:rFonts w:asciiTheme="minorHAnsi" w:hAnsiTheme="minorHAnsi" w:cstheme="minorHAnsi"/>
                <w:color w:val="000000"/>
                <w:sz w:val="20"/>
                <w:szCs w:val="20"/>
              </w:rPr>
              <w:t>112</w:t>
            </w:r>
            <w:r w:rsidR="009E4051" w:rsidRPr="006D26BB">
              <w:rPr>
                <w:rFonts w:asciiTheme="minorHAnsi" w:hAnsiTheme="minorHAnsi" w:cstheme="minorHAnsi"/>
                <w:color w:val="000000"/>
                <w:sz w:val="20"/>
                <w:szCs w:val="20"/>
              </w:rPr>
              <w:t>%</w:t>
            </w:r>
          </w:p>
        </w:tc>
      </w:tr>
      <w:tr w:rsidR="009E4051" w:rsidRPr="006D26BB" w14:paraId="06FEEA0E" w14:textId="77777777" w:rsidTr="00997EF7">
        <w:trPr>
          <w:trHeight w:val="246"/>
        </w:trPr>
        <w:tc>
          <w:tcPr>
            <w:tcW w:w="4111" w:type="dxa"/>
            <w:tcBorders>
              <w:top w:val="nil"/>
              <w:left w:val="nil"/>
              <w:bottom w:val="nil"/>
              <w:right w:val="nil"/>
            </w:tcBorders>
            <w:shd w:val="clear" w:color="000000" w:fill="FFFFFF"/>
            <w:noWrap/>
            <w:vAlign w:val="bottom"/>
            <w:hideMark/>
          </w:tcPr>
          <w:p w14:paraId="0E52C410" w14:textId="66EE3ACC" w:rsidR="009E4051" w:rsidRPr="006D26BB" w:rsidRDefault="009E4051" w:rsidP="009E4051">
            <w:pPr>
              <w:spacing w:after="0" w:line="240" w:lineRule="auto"/>
              <w:rPr>
                <w:rFonts w:asciiTheme="minorHAnsi" w:hAnsiTheme="minorHAnsi" w:cstheme="minorHAnsi"/>
                <w:bCs/>
                <w:color w:val="000000" w:themeColor="text1"/>
                <w:sz w:val="20"/>
                <w:szCs w:val="20"/>
              </w:rPr>
            </w:pPr>
            <w:r w:rsidRPr="006D26BB">
              <w:rPr>
                <w:rFonts w:asciiTheme="minorHAnsi" w:hAnsiTheme="minorHAnsi" w:cstheme="minorHAnsi"/>
                <w:sz w:val="20"/>
                <w:szCs w:val="20"/>
              </w:rPr>
              <w:t>Invoice Discounting</w:t>
            </w:r>
          </w:p>
        </w:tc>
        <w:tc>
          <w:tcPr>
            <w:tcW w:w="1278" w:type="dxa"/>
            <w:tcBorders>
              <w:top w:val="nil"/>
              <w:left w:val="nil"/>
              <w:bottom w:val="nil"/>
              <w:right w:val="nil"/>
            </w:tcBorders>
            <w:shd w:val="clear" w:color="000000" w:fill="FFFFFF"/>
            <w:noWrap/>
            <w:vAlign w:val="bottom"/>
          </w:tcPr>
          <w:p w14:paraId="183860C6" w14:textId="638C9844" w:rsidR="009E4051" w:rsidRPr="006D26BB" w:rsidRDefault="00CF2F20" w:rsidP="009E4051">
            <w:pPr>
              <w:spacing w:after="0" w:line="240" w:lineRule="auto"/>
              <w:jc w:val="right"/>
              <w:rPr>
                <w:rFonts w:asciiTheme="minorHAnsi" w:hAnsiTheme="minorHAnsi" w:cstheme="minorHAnsi"/>
                <w:bCs/>
                <w:color w:val="000000" w:themeColor="text1"/>
                <w:sz w:val="20"/>
                <w:szCs w:val="20"/>
              </w:rPr>
            </w:pPr>
            <w:r>
              <w:rPr>
                <w:rFonts w:asciiTheme="minorHAnsi" w:hAnsiTheme="minorHAnsi" w:cstheme="minorHAnsi"/>
                <w:sz w:val="20"/>
                <w:szCs w:val="20"/>
              </w:rPr>
              <w:t>(3,465)</w:t>
            </w:r>
            <w:r w:rsidR="009E4051" w:rsidRPr="006D26BB">
              <w:rPr>
                <w:rFonts w:asciiTheme="minorHAnsi" w:hAnsiTheme="minorHAnsi" w:cstheme="minorHAnsi"/>
                <w:sz w:val="20"/>
                <w:szCs w:val="20"/>
              </w:rPr>
              <w:t xml:space="preserve"> </w:t>
            </w:r>
          </w:p>
        </w:tc>
        <w:tc>
          <w:tcPr>
            <w:tcW w:w="1278" w:type="dxa"/>
            <w:tcBorders>
              <w:top w:val="nil"/>
              <w:left w:val="nil"/>
              <w:bottom w:val="nil"/>
              <w:right w:val="nil"/>
            </w:tcBorders>
            <w:shd w:val="clear" w:color="000000" w:fill="FFFFFF"/>
            <w:noWrap/>
            <w:vAlign w:val="bottom"/>
          </w:tcPr>
          <w:p w14:paraId="45E53FEE" w14:textId="5B8F7BFB" w:rsidR="009E4051" w:rsidRPr="006D26BB" w:rsidRDefault="009E4051" w:rsidP="009E4051">
            <w:pPr>
              <w:spacing w:after="0" w:line="240" w:lineRule="auto"/>
              <w:jc w:val="right"/>
              <w:rPr>
                <w:rFonts w:asciiTheme="minorHAnsi" w:hAnsiTheme="minorHAnsi" w:cstheme="minorHAnsi"/>
                <w:bCs/>
                <w:color w:val="000000" w:themeColor="text1"/>
                <w:sz w:val="20"/>
                <w:szCs w:val="20"/>
              </w:rPr>
            </w:pPr>
            <w:r w:rsidRPr="006D26BB">
              <w:rPr>
                <w:rFonts w:asciiTheme="minorHAnsi" w:hAnsiTheme="minorHAnsi" w:cstheme="minorHAnsi"/>
                <w:sz w:val="20"/>
                <w:szCs w:val="20"/>
              </w:rPr>
              <w:t>(11,05</w:t>
            </w:r>
            <w:r w:rsidR="001D7BA0">
              <w:rPr>
                <w:rFonts w:asciiTheme="minorHAnsi" w:hAnsiTheme="minorHAnsi" w:cstheme="minorHAnsi"/>
                <w:sz w:val="20"/>
                <w:szCs w:val="20"/>
              </w:rPr>
              <w:t>3</w:t>
            </w:r>
            <w:r w:rsidRPr="006D26BB">
              <w:rPr>
                <w:rFonts w:asciiTheme="minorHAnsi" w:hAnsiTheme="minorHAnsi" w:cstheme="minorHAnsi"/>
                <w:sz w:val="20"/>
                <w:szCs w:val="20"/>
              </w:rPr>
              <w:t>)</w:t>
            </w:r>
          </w:p>
        </w:tc>
        <w:tc>
          <w:tcPr>
            <w:tcW w:w="1278" w:type="dxa"/>
            <w:tcBorders>
              <w:top w:val="nil"/>
              <w:left w:val="nil"/>
              <w:bottom w:val="nil"/>
              <w:right w:val="nil"/>
            </w:tcBorders>
            <w:shd w:val="clear" w:color="000000" w:fill="FFFFFF"/>
            <w:noWrap/>
            <w:vAlign w:val="bottom"/>
          </w:tcPr>
          <w:p w14:paraId="06D2698D" w14:textId="2A943310" w:rsidR="009E4051" w:rsidRPr="006D26BB" w:rsidRDefault="00F424B9" w:rsidP="009E4051">
            <w:pPr>
              <w:spacing w:after="0" w:line="240" w:lineRule="auto"/>
              <w:jc w:val="right"/>
              <w:rPr>
                <w:rFonts w:asciiTheme="minorHAnsi" w:hAnsiTheme="minorHAnsi" w:cstheme="minorHAnsi"/>
                <w:bCs/>
                <w:color w:val="000000" w:themeColor="text1"/>
                <w:sz w:val="20"/>
                <w:szCs w:val="20"/>
              </w:rPr>
            </w:pPr>
            <w:r>
              <w:rPr>
                <w:rFonts w:asciiTheme="minorHAnsi" w:hAnsiTheme="minorHAnsi" w:cstheme="minorHAnsi"/>
                <w:sz w:val="20"/>
                <w:szCs w:val="20"/>
              </w:rPr>
              <w:t>7,588</w:t>
            </w:r>
            <w:r w:rsidR="009E4051" w:rsidRPr="006D26BB">
              <w:rPr>
                <w:rFonts w:asciiTheme="minorHAnsi" w:hAnsiTheme="minorHAnsi" w:cstheme="minorHAnsi"/>
                <w:sz w:val="20"/>
                <w:szCs w:val="20"/>
              </w:rPr>
              <w:t xml:space="preserve"> </w:t>
            </w:r>
          </w:p>
        </w:tc>
        <w:tc>
          <w:tcPr>
            <w:tcW w:w="1279" w:type="dxa"/>
            <w:tcBorders>
              <w:top w:val="nil"/>
              <w:left w:val="nil"/>
              <w:bottom w:val="nil"/>
              <w:right w:val="nil"/>
            </w:tcBorders>
            <w:shd w:val="clear" w:color="000000" w:fill="FFFFFF"/>
            <w:noWrap/>
            <w:vAlign w:val="bottom"/>
          </w:tcPr>
          <w:p w14:paraId="512802C4" w14:textId="1277AF5A" w:rsidR="009E4051" w:rsidRPr="006D26BB" w:rsidRDefault="009E4051" w:rsidP="009E4051">
            <w:pPr>
              <w:spacing w:after="0" w:line="240" w:lineRule="auto"/>
              <w:jc w:val="right"/>
              <w:rPr>
                <w:rFonts w:asciiTheme="minorHAnsi" w:hAnsiTheme="minorHAnsi" w:cstheme="minorHAnsi"/>
                <w:bCs/>
                <w:color w:val="000000" w:themeColor="text1"/>
                <w:sz w:val="20"/>
                <w:szCs w:val="20"/>
              </w:rPr>
            </w:pPr>
            <w:r w:rsidRPr="006D26BB">
              <w:rPr>
                <w:rFonts w:asciiTheme="minorHAnsi" w:hAnsiTheme="minorHAnsi" w:cstheme="minorHAnsi"/>
                <w:color w:val="000000"/>
                <w:sz w:val="20"/>
                <w:szCs w:val="20"/>
              </w:rPr>
              <w:t>-</w:t>
            </w:r>
            <w:r w:rsidR="00173F81">
              <w:rPr>
                <w:rFonts w:asciiTheme="minorHAnsi" w:hAnsiTheme="minorHAnsi" w:cstheme="minorHAnsi"/>
                <w:color w:val="000000"/>
                <w:sz w:val="20"/>
                <w:szCs w:val="20"/>
              </w:rPr>
              <w:t>69</w:t>
            </w:r>
            <w:r w:rsidRPr="006D26BB">
              <w:rPr>
                <w:rFonts w:asciiTheme="minorHAnsi" w:hAnsiTheme="minorHAnsi" w:cstheme="minorHAnsi"/>
                <w:color w:val="000000"/>
                <w:sz w:val="20"/>
                <w:szCs w:val="20"/>
              </w:rPr>
              <w:t>%</w:t>
            </w:r>
          </w:p>
        </w:tc>
      </w:tr>
      <w:tr w:rsidR="009E4051" w:rsidRPr="006D26BB" w14:paraId="5A7AF1FD" w14:textId="77777777" w:rsidTr="00997EF7">
        <w:trPr>
          <w:trHeight w:val="246"/>
        </w:trPr>
        <w:tc>
          <w:tcPr>
            <w:tcW w:w="4111" w:type="dxa"/>
            <w:tcBorders>
              <w:top w:val="nil"/>
              <w:left w:val="nil"/>
              <w:right w:val="nil"/>
            </w:tcBorders>
            <w:shd w:val="clear" w:color="000000" w:fill="FFFFFF"/>
            <w:noWrap/>
            <w:vAlign w:val="bottom"/>
            <w:hideMark/>
          </w:tcPr>
          <w:p w14:paraId="7C65CE2F" w14:textId="06180081" w:rsidR="009E4051" w:rsidRPr="006D26BB" w:rsidRDefault="009E4051" w:rsidP="009E4051">
            <w:pPr>
              <w:spacing w:after="0" w:line="240" w:lineRule="auto"/>
              <w:rPr>
                <w:rFonts w:asciiTheme="minorHAnsi" w:hAnsiTheme="minorHAnsi" w:cstheme="minorHAnsi"/>
                <w:bCs/>
                <w:color w:val="000000" w:themeColor="text1"/>
                <w:sz w:val="20"/>
                <w:szCs w:val="20"/>
              </w:rPr>
            </w:pPr>
            <w:r w:rsidRPr="006D26BB">
              <w:rPr>
                <w:rFonts w:asciiTheme="minorHAnsi" w:hAnsiTheme="minorHAnsi" w:cstheme="minorHAnsi"/>
                <w:sz w:val="20"/>
                <w:szCs w:val="20"/>
              </w:rPr>
              <w:t>Import Loans</w:t>
            </w:r>
          </w:p>
        </w:tc>
        <w:tc>
          <w:tcPr>
            <w:tcW w:w="1278" w:type="dxa"/>
            <w:tcBorders>
              <w:top w:val="nil"/>
              <w:left w:val="nil"/>
              <w:right w:val="nil"/>
            </w:tcBorders>
            <w:shd w:val="clear" w:color="000000" w:fill="FFFFFF"/>
            <w:noWrap/>
            <w:vAlign w:val="bottom"/>
          </w:tcPr>
          <w:p w14:paraId="68A3DCA1" w14:textId="61D80245" w:rsidR="009E4051" w:rsidRPr="006D26BB" w:rsidRDefault="009E4051" w:rsidP="009E4051">
            <w:pPr>
              <w:spacing w:after="0" w:line="240" w:lineRule="auto"/>
              <w:jc w:val="right"/>
              <w:rPr>
                <w:rFonts w:asciiTheme="minorHAnsi" w:hAnsiTheme="minorHAnsi" w:cstheme="minorHAnsi"/>
                <w:bCs/>
                <w:color w:val="000000" w:themeColor="text1"/>
                <w:sz w:val="20"/>
                <w:szCs w:val="20"/>
              </w:rPr>
            </w:pPr>
            <w:r w:rsidRPr="006D26BB">
              <w:rPr>
                <w:rFonts w:asciiTheme="minorHAnsi" w:hAnsiTheme="minorHAnsi" w:cstheme="minorHAnsi"/>
                <w:sz w:val="20"/>
                <w:szCs w:val="20"/>
              </w:rPr>
              <w:t>(6,970)</w:t>
            </w:r>
          </w:p>
        </w:tc>
        <w:tc>
          <w:tcPr>
            <w:tcW w:w="1278" w:type="dxa"/>
            <w:tcBorders>
              <w:top w:val="nil"/>
              <w:left w:val="nil"/>
              <w:right w:val="nil"/>
            </w:tcBorders>
            <w:shd w:val="clear" w:color="000000" w:fill="FFFFFF"/>
            <w:noWrap/>
            <w:vAlign w:val="bottom"/>
          </w:tcPr>
          <w:p w14:paraId="7153FA8E" w14:textId="36DBEDC1" w:rsidR="009E4051" w:rsidRPr="006D26BB" w:rsidRDefault="009E4051" w:rsidP="009E4051">
            <w:pPr>
              <w:spacing w:after="0" w:line="240" w:lineRule="auto"/>
              <w:jc w:val="right"/>
              <w:rPr>
                <w:rFonts w:asciiTheme="minorHAnsi" w:hAnsiTheme="minorHAnsi" w:cstheme="minorHAnsi"/>
                <w:bCs/>
                <w:color w:val="000000" w:themeColor="text1"/>
                <w:sz w:val="20"/>
                <w:szCs w:val="20"/>
              </w:rPr>
            </w:pPr>
            <w:r w:rsidRPr="006D26BB">
              <w:rPr>
                <w:rFonts w:asciiTheme="minorHAnsi" w:hAnsiTheme="minorHAnsi" w:cstheme="minorHAnsi"/>
                <w:sz w:val="20"/>
                <w:szCs w:val="20"/>
              </w:rPr>
              <w:t>(7,128)</w:t>
            </w:r>
          </w:p>
        </w:tc>
        <w:tc>
          <w:tcPr>
            <w:tcW w:w="1278" w:type="dxa"/>
            <w:tcBorders>
              <w:top w:val="nil"/>
              <w:left w:val="nil"/>
              <w:right w:val="nil"/>
            </w:tcBorders>
            <w:shd w:val="clear" w:color="000000" w:fill="FFFFFF"/>
            <w:noWrap/>
            <w:vAlign w:val="bottom"/>
          </w:tcPr>
          <w:p w14:paraId="3DC01345" w14:textId="2E3CD30A" w:rsidR="009E4051" w:rsidRPr="006D26BB" w:rsidRDefault="009E4051" w:rsidP="009E4051">
            <w:pPr>
              <w:spacing w:after="0" w:line="240" w:lineRule="auto"/>
              <w:jc w:val="right"/>
              <w:rPr>
                <w:rFonts w:asciiTheme="minorHAnsi" w:hAnsiTheme="minorHAnsi" w:cstheme="minorHAnsi"/>
                <w:bCs/>
                <w:color w:val="000000" w:themeColor="text1"/>
                <w:sz w:val="20"/>
                <w:szCs w:val="20"/>
              </w:rPr>
            </w:pPr>
            <w:r w:rsidRPr="006D26BB">
              <w:rPr>
                <w:rFonts w:asciiTheme="minorHAnsi" w:hAnsiTheme="minorHAnsi" w:cstheme="minorHAnsi"/>
                <w:sz w:val="20"/>
                <w:szCs w:val="20"/>
              </w:rPr>
              <w:t xml:space="preserve">158 </w:t>
            </w:r>
          </w:p>
        </w:tc>
        <w:tc>
          <w:tcPr>
            <w:tcW w:w="1279" w:type="dxa"/>
            <w:tcBorders>
              <w:top w:val="nil"/>
              <w:left w:val="nil"/>
              <w:right w:val="nil"/>
            </w:tcBorders>
            <w:shd w:val="clear" w:color="000000" w:fill="FFFFFF"/>
            <w:noWrap/>
            <w:vAlign w:val="bottom"/>
          </w:tcPr>
          <w:p w14:paraId="0CB0174F" w14:textId="6E78FCDF" w:rsidR="009E4051" w:rsidRPr="006D26BB" w:rsidRDefault="009E4051" w:rsidP="009E4051">
            <w:pPr>
              <w:spacing w:after="0" w:line="240" w:lineRule="auto"/>
              <w:jc w:val="right"/>
              <w:rPr>
                <w:rFonts w:asciiTheme="minorHAnsi" w:hAnsiTheme="minorHAnsi" w:cstheme="minorHAnsi"/>
                <w:bCs/>
                <w:color w:val="000000" w:themeColor="text1"/>
                <w:sz w:val="20"/>
                <w:szCs w:val="20"/>
              </w:rPr>
            </w:pPr>
            <w:r w:rsidRPr="006D26BB">
              <w:rPr>
                <w:rFonts w:asciiTheme="minorHAnsi" w:hAnsiTheme="minorHAnsi" w:cstheme="minorHAnsi"/>
                <w:color w:val="000000"/>
                <w:sz w:val="20"/>
                <w:szCs w:val="20"/>
              </w:rPr>
              <w:t>-2%</w:t>
            </w:r>
          </w:p>
        </w:tc>
      </w:tr>
      <w:tr w:rsidR="009E4051" w:rsidRPr="006D26BB" w14:paraId="7F45540C" w14:textId="77777777" w:rsidTr="00997EF7">
        <w:trPr>
          <w:trHeight w:val="246"/>
        </w:trPr>
        <w:tc>
          <w:tcPr>
            <w:tcW w:w="4111" w:type="dxa"/>
            <w:tcBorders>
              <w:top w:val="nil"/>
              <w:left w:val="nil"/>
              <w:right w:val="nil"/>
            </w:tcBorders>
            <w:shd w:val="clear" w:color="000000" w:fill="FFFFFF"/>
            <w:noWrap/>
            <w:vAlign w:val="bottom"/>
          </w:tcPr>
          <w:p w14:paraId="39A24AE8" w14:textId="3289F9D6" w:rsidR="009E4051" w:rsidRPr="006D26BB" w:rsidRDefault="009E4051" w:rsidP="009E4051">
            <w:pPr>
              <w:spacing w:after="0" w:line="240" w:lineRule="auto"/>
              <w:rPr>
                <w:rFonts w:asciiTheme="minorHAnsi" w:hAnsiTheme="minorHAnsi" w:cstheme="minorHAnsi"/>
                <w:bCs/>
                <w:color w:val="000000" w:themeColor="text1"/>
                <w:sz w:val="20"/>
                <w:szCs w:val="20"/>
              </w:rPr>
            </w:pPr>
            <w:r w:rsidRPr="006D26BB">
              <w:rPr>
                <w:rFonts w:asciiTheme="minorHAnsi" w:hAnsiTheme="minorHAnsi" w:cstheme="minorHAnsi"/>
                <w:sz w:val="20"/>
                <w:szCs w:val="20"/>
              </w:rPr>
              <w:t>Term loan</w:t>
            </w:r>
          </w:p>
        </w:tc>
        <w:tc>
          <w:tcPr>
            <w:tcW w:w="1278" w:type="dxa"/>
            <w:tcBorders>
              <w:top w:val="nil"/>
              <w:left w:val="nil"/>
              <w:right w:val="nil"/>
            </w:tcBorders>
            <w:shd w:val="clear" w:color="000000" w:fill="FFFFFF"/>
            <w:noWrap/>
            <w:vAlign w:val="bottom"/>
          </w:tcPr>
          <w:p w14:paraId="22207183" w14:textId="72426646" w:rsidR="009E4051" w:rsidRPr="006D26BB" w:rsidRDefault="009E4051" w:rsidP="009E4051">
            <w:pPr>
              <w:spacing w:after="0" w:line="240" w:lineRule="auto"/>
              <w:jc w:val="right"/>
              <w:rPr>
                <w:rFonts w:asciiTheme="minorHAnsi" w:hAnsiTheme="minorHAnsi" w:cstheme="minorHAnsi"/>
                <w:bCs/>
                <w:color w:val="000000" w:themeColor="text1"/>
                <w:sz w:val="20"/>
                <w:szCs w:val="20"/>
              </w:rPr>
            </w:pPr>
            <w:r w:rsidRPr="006D26BB">
              <w:rPr>
                <w:rFonts w:asciiTheme="minorHAnsi" w:hAnsiTheme="minorHAnsi" w:cstheme="minorHAnsi"/>
                <w:sz w:val="20"/>
                <w:szCs w:val="20"/>
              </w:rPr>
              <w:t>(7,000)</w:t>
            </w:r>
          </w:p>
        </w:tc>
        <w:tc>
          <w:tcPr>
            <w:tcW w:w="1278" w:type="dxa"/>
            <w:tcBorders>
              <w:top w:val="nil"/>
              <w:left w:val="nil"/>
              <w:right w:val="nil"/>
            </w:tcBorders>
            <w:shd w:val="clear" w:color="000000" w:fill="FFFFFF"/>
            <w:noWrap/>
            <w:vAlign w:val="bottom"/>
          </w:tcPr>
          <w:p w14:paraId="51AF7027" w14:textId="785A7BF8" w:rsidR="009E4051" w:rsidRPr="006D26BB" w:rsidRDefault="009E4051" w:rsidP="009E4051">
            <w:pPr>
              <w:spacing w:after="0" w:line="240" w:lineRule="auto"/>
              <w:jc w:val="right"/>
              <w:rPr>
                <w:rFonts w:asciiTheme="minorHAnsi" w:hAnsiTheme="minorHAnsi" w:cstheme="minorHAnsi"/>
                <w:bCs/>
                <w:color w:val="000000" w:themeColor="text1"/>
                <w:sz w:val="20"/>
                <w:szCs w:val="20"/>
              </w:rPr>
            </w:pPr>
            <w:r w:rsidRPr="006D26BB">
              <w:rPr>
                <w:rFonts w:asciiTheme="minorHAnsi" w:hAnsiTheme="minorHAnsi" w:cstheme="minorHAnsi"/>
                <w:sz w:val="20"/>
                <w:szCs w:val="20"/>
              </w:rPr>
              <w:t>(9,000)</w:t>
            </w:r>
          </w:p>
        </w:tc>
        <w:tc>
          <w:tcPr>
            <w:tcW w:w="1278" w:type="dxa"/>
            <w:tcBorders>
              <w:top w:val="nil"/>
              <w:left w:val="nil"/>
              <w:right w:val="nil"/>
            </w:tcBorders>
            <w:shd w:val="clear" w:color="000000" w:fill="FFFFFF"/>
            <w:noWrap/>
            <w:vAlign w:val="bottom"/>
          </w:tcPr>
          <w:p w14:paraId="526E5F89" w14:textId="4252D2B4" w:rsidR="009E4051" w:rsidRPr="006D26BB" w:rsidRDefault="009E4051" w:rsidP="009E4051">
            <w:pPr>
              <w:spacing w:after="0" w:line="240" w:lineRule="auto"/>
              <w:jc w:val="right"/>
              <w:rPr>
                <w:rFonts w:asciiTheme="minorHAnsi" w:hAnsiTheme="minorHAnsi" w:cstheme="minorHAnsi"/>
                <w:bCs/>
                <w:color w:val="000000" w:themeColor="text1"/>
                <w:sz w:val="20"/>
                <w:szCs w:val="20"/>
              </w:rPr>
            </w:pPr>
            <w:r w:rsidRPr="006D26BB">
              <w:rPr>
                <w:rFonts w:asciiTheme="minorHAnsi" w:hAnsiTheme="minorHAnsi" w:cstheme="minorHAnsi"/>
                <w:sz w:val="20"/>
                <w:szCs w:val="20"/>
              </w:rPr>
              <w:t xml:space="preserve">2,000 </w:t>
            </w:r>
          </w:p>
        </w:tc>
        <w:tc>
          <w:tcPr>
            <w:tcW w:w="1279" w:type="dxa"/>
            <w:tcBorders>
              <w:top w:val="nil"/>
              <w:left w:val="nil"/>
              <w:right w:val="nil"/>
            </w:tcBorders>
            <w:shd w:val="clear" w:color="000000" w:fill="FFFFFF"/>
            <w:noWrap/>
            <w:vAlign w:val="bottom"/>
          </w:tcPr>
          <w:p w14:paraId="6F53DCAA" w14:textId="7E6A15BC" w:rsidR="009E4051" w:rsidRPr="006D26BB" w:rsidRDefault="009E4051" w:rsidP="009E4051">
            <w:pPr>
              <w:spacing w:after="0" w:line="240" w:lineRule="auto"/>
              <w:jc w:val="right"/>
              <w:rPr>
                <w:rFonts w:asciiTheme="minorHAnsi" w:hAnsiTheme="minorHAnsi" w:cstheme="minorHAnsi"/>
                <w:bCs/>
                <w:color w:val="000000" w:themeColor="text1"/>
                <w:sz w:val="20"/>
                <w:szCs w:val="20"/>
              </w:rPr>
            </w:pPr>
            <w:r w:rsidRPr="006D26BB">
              <w:rPr>
                <w:rFonts w:asciiTheme="minorHAnsi" w:hAnsiTheme="minorHAnsi" w:cstheme="minorHAnsi"/>
                <w:color w:val="000000"/>
                <w:sz w:val="20"/>
                <w:szCs w:val="20"/>
              </w:rPr>
              <w:t>-22%</w:t>
            </w:r>
          </w:p>
        </w:tc>
      </w:tr>
      <w:tr w:rsidR="009E4051" w:rsidRPr="006D26BB" w14:paraId="780E23A7" w14:textId="77777777" w:rsidTr="00997EF7">
        <w:trPr>
          <w:trHeight w:val="246"/>
        </w:trPr>
        <w:tc>
          <w:tcPr>
            <w:tcW w:w="4111" w:type="dxa"/>
            <w:tcBorders>
              <w:top w:val="nil"/>
              <w:left w:val="nil"/>
              <w:right w:val="nil"/>
            </w:tcBorders>
            <w:shd w:val="clear" w:color="000000" w:fill="FFFFFF"/>
            <w:noWrap/>
            <w:vAlign w:val="bottom"/>
          </w:tcPr>
          <w:p w14:paraId="21B65EF3" w14:textId="46D0BF0A" w:rsidR="009E4051" w:rsidRPr="006D26BB" w:rsidRDefault="009E4051" w:rsidP="009E4051">
            <w:pPr>
              <w:spacing w:after="0" w:line="240" w:lineRule="auto"/>
              <w:rPr>
                <w:rFonts w:asciiTheme="minorHAnsi" w:hAnsiTheme="minorHAnsi" w:cstheme="minorHAnsi"/>
                <w:color w:val="000000"/>
                <w:sz w:val="20"/>
                <w:szCs w:val="20"/>
              </w:rPr>
            </w:pPr>
            <w:r w:rsidRPr="006D26BB">
              <w:rPr>
                <w:rFonts w:asciiTheme="minorHAnsi" w:hAnsiTheme="minorHAnsi" w:cstheme="minorHAnsi"/>
                <w:sz w:val="20"/>
                <w:szCs w:val="20"/>
              </w:rPr>
              <w:t>Debt Issue Costs</w:t>
            </w:r>
          </w:p>
        </w:tc>
        <w:tc>
          <w:tcPr>
            <w:tcW w:w="1278" w:type="dxa"/>
            <w:tcBorders>
              <w:top w:val="nil"/>
              <w:left w:val="nil"/>
              <w:right w:val="nil"/>
            </w:tcBorders>
            <w:shd w:val="clear" w:color="000000" w:fill="FFFFFF"/>
            <w:noWrap/>
            <w:vAlign w:val="bottom"/>
          </w:tcPr>
          <w:p w14:paraId="6C655D3A" w14:textId="148ECE90" w:rsidR="009E4051" w:rsidRPr="006D26BB" w:rsidRDefault="009E4051" w:rsidP="009E4051">
            <w:pPr>
              <w:spacing w:after="0" w:line="240" w:lineRule="auto"/>
              <w:jc w:val="right"/>
              <w:rPr>
                <w:rFonts w:asciiTheme="minorHAnsi" w:hAnsiTheme="minorHAnsi" w:cstheme="minorHAnsi"/>
                <w:color w:val="000000"/>
                <w:sz w:val="20"/>
                <w:szCs w:val="20"/>
              </w:rPr>
            </w:pPr>
            <w:r w:rsidRPr="006D26BB">
              <w:rPr>
                <w:rFonts w:asciiTheme="minorHAnsi" w:hAnsiTheme="minorHAnsi" w:cstheme="minorHAnsi"/>
                <w:sz w:val="20"/>
                <w:szCs w:val="20"/>
              </w:rPr>
              <w:t>1</w:t>
            </w:r>
            <w:r w:rsidR="00AF6FA6">
              <w:rPr>
                <w:rFonts w:asciiTheme="minorHAnsi" w:hAnsiTheme="minorHAnsi" w:cstheme="minorHAnsi"/>
                <w:sz w:val="20"/>
                <w:szCs w:val="20"/>
              </w:rPr>
              <w:t>40</w:t>
            </w:r>
            <w:r w:rsidRPr="006D26BB">
              <w:rPr>
                <w:rFonts w:asciiTheme="minorHAnsi" w:hAnsiTheme="minorHAnsi" w:cstheme="minorHAnsi"/>
                <w:sz w:val="20"/>
                <w:szCs w:val="20"/>
              </w:rPr>
              <w:t xml:space="preserve"> </w:t>
            </w:r>
          </w:p>
        </w:tc>
        <w:tc>
          <w:tcPr>
            <w:tcW w:w="1278" w:type="dxa"/>
            <w:tcBorders>
              <w:top w:val="nil"/>
              <w:left w:val="nil"/>
              <w:right w:val="nil"/>
            </w:tcBorders>
            <w:shd w:val="clear" w:color="000000" w:fill="FFFFFF"/>
            <w:noWrap/>
            <w:vAlign w:val="bottom"/>
          </w:tcPr>
          <w:p w14:paraId="07B668D1" w14:textId="46ED5138" w:rsidR="009E4051" w:rsidRPr="006D26BB" w:rsidRDefault="009E4051" w:rsidP="009E4051">
            <w:pPr>
              <w:spacing w:after="0" w:line="240" w:lineRule="auto"/>
              <w:jc w:val="right"/>
              <w:rPr>
                <w:rFonts w:asciiTheme="minorHAnsi" w:hAnsiTheme="minorHAnsi" w:cstheme="minorHAnsi"/>
                <w:color w:val="000000"/>
                <w:sz w:val="20"/>
                <w:szCs w:val="20"/>
              </w:rPr>
            </w:pPr>
            <w:r w:rsidRPr="006D26BB">
              <w:rPr>
                <w:rFonts w:asciiTheme="minorHAnsi" w:hAnsiTheme="minorHAnsi" w:cstheme="minorHAnsi"/>
                <w:sz w:val="20"/>
                <w:szCs w:val="20"/>
              </w:rPr>
              <w:t xml:space="preserve">194 </w:t>
            </w:r>
          </w:p>
        </w:tc>
        <w:tc>
          <w:tcPr>
            <w:tcW w:w="1278" w:type="dxa"/>
            <w:tcBorders>
              <w:top w:val="nil"/>
              <w:left w:val="nil"/>
              <w:right w:val="nil"/>
            </w:tcBorders>
            <w:shd w:val="clear" w:color="000000" w:fill="FFFFFF"/>
            <w:noWrap/>
            <w:vAlign w:val="bottom"/>
          </w:tcPr>
          <w:p w14:paraId="7BDFDF62" w14:textId="45972D00" w:rsidR="009E4051" w:rsidRPr="006D26BB" w:rsidRDefault="009E4051" w:rsidP="009E4051">
            <w:pPr>
              <w:spacing w:after="0" w:line="240" w:lineRule="auto"/>
              <w:jc w:val="right"/>
              <w:rPr>
                <w:rFonts w:asciiTheme="minorHAnsi" w:hAnsiTheme="minorHAnsi" w:cstheme="minorHAnsi"/>
                <w:color w:val="000000"/>
                <w:sz w:val="20"/>
                <w:szCs w:val="20"/>
              </w:rPr>
            </w:pPr>
            <w:r w:rsidRPr="006D26BB">
              <w:rPr>
                <w:rFonts w:asciiTheme="minorHAnsi" w:hAnsiTheme="minorHAnsi" w:cstheme="minorHAnsi"/>
                <w:sz w:val="20"/>
                <w:szCs w:val="20"/>
              </w:rPr>
              <w:t>(5</w:t>
            </w:r>
            <w:r w:rsidR="00F424B9">
              <w:rPr>
                <w:rFonts w:asciiTheme="minorHAnsi" w:hAnsiTheme="minorHAnsi" w:cstheme="minorHAnsi"/>
                <w:sz w:val="20"/>
                <w:szCs w:val="20"/>
              </w:rPr>
              <w:t>4</w:t>
            </w:r>
            <w:r w:rsidRPr="006D26BB">
              <w:rPr>
                <w:rFonts w:asciiTheme="minorHAnsi" w:hAnsiTheme="minorHAnsi" w:cstheme="minorHAnsi"/>
                <w:sz w:val="20"/>
                <w:szCs w:val="20"/>
              </w:rPr>
              <w:t>)</w:t>
            </w:r>
          </w:p>
        </w:tc>
        <w:tc>
          <w:tcPr>
            <w:tcW w:w="1279" w:type="dxa"/>
            <w:tcBorders>
              <w:top w:val="nil"/>
              <w:left w:val="nil"/>
              <w:right w:val="nil"/>
            </w:tcBorders>
            <w:shd w:val="clear" w:color="000000" w:fill="FFFFFF"/>
            <w:noWrap/>
            <w:vAlign w:val="bottom"/>
          </w:tcPr>
          <w:p w14:paraId="56899B0D" w14:textId="6AD0D663" w:rsidR="009E4051" w:rsidRPr="006D26BB" w:rsidRDefault="009E4051" w:rsidP="009E4051">
            <w:pPr>
              <w:spacing w:after="0" w:line="240" w:lineRule="auto"/>
              <w:jc w:val="right"/>
              <w:rPr>
                <w:rFonts w:asciiTheme="minorHAnsi" w:hAnsiTheme="minorHAnsi" w:cstheme="minorHAnsi"/>
                <w:color w:val="000000"/>
                <w:sz w:val="20"/>
                <w:szCs w:val="20"/>
              </w:rPr>
            </w:pPr>
            <w:r w:rsidRPr="006D26BB">
              <w:rPr>
                <w:rFonts w:asciiTheme="minorHAnsi" w:hAnsiTheme="minorHAnsi" w:cstheme="minorHAnsi"/>
                <w:color w:val="000000"/>
                <w:sz w:val="20"/>
                <w:szCs w:val="20"/>
              </w:rPr>
              <w:t>-28%</w:t>
            </w:r>
          </w:p>
        </w:tc>
      </w:tr>
      <w:tr w:rsidR="009E4051" w:rsidRPr="006D26BB" w14:paraId="676B78BA" w14:textId="77777777" w:rsidTr="00997EF7">
        <w:trPr>
          <w:trHeight w:val="246"/>
        </w:trPr>
        <w:tc>
          <w:tcPr>
            <w:tcW w:w="4111" w:type="dxa"/>
            <w:tcBorders>
              <w:top w:val="single" w:sz="4" w:space="0" w:color="auto"/>
              <w:left w:val="nil"/>
              <w:bottom w:val="single" w:sz="4" w:space="0" w:color="auto"/>
              <w:right w:val="nil"/>
            </w:tcBorders>
            <w:shd w:val="clear" w:color="000000" w:fill="FFFFFF"/>
            <w:noWrap/>
            <w:vAlign w:val="bottom"/>
            <w:hideMark/>
          </w:tcPr>
          <w:p w14:paraId="517AA704" w14:textId="68BD724C" w:rsidR="009E4051" w:rsidRPr="006D26BB" w:rsidRDefault="009E4051" w:rsidP="009E4051">
            <w:pPr>
              <w:spacing w:after="0" w:line="240" w:lineRule="auto"/>
              <w:rPr>
                <w:rFonts w:asciiTheme="minorHAnsi" w:hAnsiTheme="minorHAnsi" w:cstheme="minorHAnsi"/>
                <w:bCs/>
                <w:color w:val="000000" w:themeColor="text1"/>
                <w:sz w:val="20"/>
                <w:szCs w:val="20"/>
              </w:rPr>
            </w:pPr>
            <w:r w:rsidRPr="006D26BB">
              <w:rPr>
                <w:rFonts w:asciiTheme="minorHAnsi" w:hAnsiTheme="minorHAnsi" w:cstheme="minorHAnsi"/>
                <w:b/>
                <w:bCs/>
                <w:sz w:val="20"/>
                <w:szCs w:val="20"/>
              </w:rPr>
              <w:t>Net bank debt</w:t>
            </w:r>
          </w:p>
        </w:tc>
        <w:tc>
          <w:tcPr>
            <w:tcW w:w="1278" w:type="dxa"/>
            <w:tcBorders>
              <w:top w:val="single" w:sz="4" w:space="0" w:color="auto"/>
              <w:left w:val="nil"/>
              <w:bottom w:val="single" w:sz="4" w:space="0" w:color="auto"/>
              <w:right w:val="nil"/>
            </w:tcBorders>
            <w:shd w:val="clear" w:color="000000" w:fill="FFFFFF"/>
            <w:noWrap/>
            <w:vAlign w:val="bottom"/>
          </w:tcPr>
          <w:p w14:paraId="69662D47" w14:textId="53A625CD" w:rsidR="009E4051" w:rsidRPr="006D26BB" w:rsidRDefault="009E4051" w:rsidP="009E4051">
            <w:pPr>
              <w:spacing w:after="0" w:line="240" w:lineRule="auto"/>
              <w:jc w:val="right"/>
              <w:rPr>
                <w:rFonts w:asciiTheme="minorHAnsi" w:hAnsiTheme="minorHAnsi" w:cstheme="minorHAnsi"/>
                <w:bCs/>
                <w:color w:val="000000" w:themeColor="text1"/>
                <w:sz w:val="20"/>
                <w:szCs w:val="20"/>
              </w:rPr>
            </w:pPr>
            <w:r w:rsidRPr="006D26BB">
              <w:rPr>
                <w:rFonts w:asciiTheme="minorHAnsi" w:hAnsiTheme="minorHAnsi" w:cstheme="minorHAnsi"/>
                <w:b/>
                <w:bCs/>
                <w:sz w:val="20"/>
                <w:szCs w:val="20"/>
              </w:rPr>
              <w:t>(19,38</w:t>
            </w:r>
            <w:r w:rsidR="00AF6FA6">
              <w:rPr>
                <w:rFonts w:asciiTheme="minorHAnsi" w:hAnsiTheme="minorHAnsi" w:cstheme="minorHAnsi"/>
                <w:b/>
                <w:bCs/>
                <w:sz w:val="20"/>
                <w:szCs w:val="20"/>
              </w:rPr>
              <w:t>8</w:t>
            </w:r>
            <w:r w:rsidRPr="006D26BB">
              <w:rPr>
                <w:rFonts w:asciiTheme="minorHAnsi" w:hAnsiTheme="minorHAnsi" w:cstheme="minorHAnsi"/>
                <w:b/>
                <w:bCs/>
                <w:sz w:val="20"/>
                <w:szCs w:val="20"/>
              </w:rPr>
              <w:t>)</w:t>
            </w:r>
          </w:p>
        </w:tc>
        <w:tc>
          <w:tcPr>
            <w:tcW w:w="1278" w:type="dxa"/>
            <w:tcBorders>
              <w:top w:val="single" w:sz="4" w:space="0" w:color="auto"/>
              <w:left w:val="nil"/>
              <w:bottom w:val="single" w:sz="4" w:space="0" w:color="auto"/>
              <w:right w:val="nil"/>
            </w:tcBorders>
            <w:shd w:val="clear" w:color="000000" w:fill="FFFFFF"/>
            <w:noWrap/>
            <w:vAlign w:val="bottom"/>
          </w:tcPr>
          <w:p w14:paraId="0FE3DB0E" w14:textId="37D68AED" w:rsidR="009E4051" w:rsidRPr="006D26BB" w:rsidRDefault="009E4051" w:rsidP="009E4051">
            <w:pPr>
              <w:spacing w:after="0" w:line="240" w:lineRule="auto"/>
              <w:jc w:val="right"/>
              <w:rPr>
                <w:rFonts w:asciiTheme="minorHAnsi" w:hAnsiTheme="minorHAnsi" w:cstheme="minorHAnsi"/>
                <w:bCs/>
                <w:color w:val="000000" w:themeColor="text1"/>
                <w:sz w:val="20"/>
                <w:szCs w:val="20"/>
              </w:rPr>
            </w:pPr>
            <w:r w:rsidRPr="006D26BB">
              <w:rPr>
                <w:rFonts w:asciiTheme="minorHAnsi" w:hAnsiTheme="minorHAnsi" w:cstheme="minorHAnsi"/>
                <w:b/>
                <w:bCs/>
                <w:sz w:val="20"/>
                <w:szCs w:val="20"/>
              </w:rPr>
              <w:t>(30,073)</w:t>
            </w:r>
          </w:p>
        </w:tc>
        <w:tc>
          <w:tcPr>
            <w:tcW w:w="1278" w:type="dxa"/>
            <w:tcBorders>
              <w:top w:val="single" w:sz="4" w:space="0" w:color="auto"/>
              <w:left w:val="nil"/>
              <w:bottom w:val="single" w:sz="4" w:space="0" w:color="auto"/>
              <w:right w:val="nil"/>
            </w:tcBorders>
            <w:shd w:val="clear" w:color="000000" w:fill="FFFFFF"/>
            <w:noWrap/>
            <w:vAlign w:val="bottom"/>
          </w:tcPr>
          <w:p w14:paraId="33576EE5" w14:textId="28050A48" w:rsidR="009E4051" w:rsidRPr="006D26BB" w:rsidRDefault="009E4051" w:rsidP="009E4051">
            <w:pPr>
              <w:spacing w:after="0" w:line="240" w:lineRule="auto"/>
              <w:jc w:val="right"/>
              <w:rPr>
                <w:rFonts w:asciiTheme="minorHAnsi" w:hAnsiTheme="minorHAnsi" w:cstheme="minorHAnsi"/>
                <w:bCs/>
                <w:color w:val="000000" w:themeColor="text1"/>
                <w:sz w:val="20"/>
                <w:szCs w:val="20"/>
              </w:rPr>
            </w:pPr>
            <w:r w:rsidRPr="006D26BB">
              <w:rPr>
                <w:rFonts w:asciiTheme="minorHAnsi" w:hAnsiTheme="minorHAnsi" w:cstheme="minorHAnsi"/>
                <w:sz w:val="20"/>
                <w:szCs w:val="20"/>
              </w:rPr>
              <w:t>10,68</w:t>
            </w:r>
            <w:r w:rsidR="00F424B9">
              <w:rPr>
                <w:rFonts w:asciiTheme="minorHAnsi" w:hAnsiTheme="minorHAnsi" w:cstheme="minorHAnsi"/>
                <w:sz w:val="20"/>
                <w:szCs w:val="20"/>
              </w:rPr>
              <w:t>5</w:t>
            </w:r>
            <w:r w:rsidRPr="006D26BB">
              <w:rPr>
                <w:rFonts w:asciiTheme="minorHAnsi" w:hAnsiTheme="minorHAnsi" w:cstheme="minorHAnsi"/>
                <w:sz w:val="20"/>
                <w:szCs w:val="20"/>
              </w:rPr>
              <w:t xml:space="preserve"> </w:t>
            </w:r>
          </w:p>
        </w:tc>
        <w:tc>
          <w:tcPr>
            <w:tcW w:w="1279" w:type="dxa"/>
            <w:tcBorders>
              <w:top w:val="single" w:sz="4" w:space="0" w:color="auto"/>
              <w:left w:val="nil"/>
              <w:bottom w:val="single" w:sz="4" w:space="0" w:color="auto"/>
              <w:right w:val="nil"/>
            </w:tcBorders>
            <w:shd w:val="clear" w:color="000000" w:fill="FFFFFF"/>
            <w:noWrap/>
            <w:vAlign w:val="bottom"/>
          </w:tcPr>
          <w:p w14:paraId="3C46139E" w14:textId="5BE7A038" w:rsidR="009E4051" w:rsidRPr="006D26BB" w:rsidRDefault="009E4051" w:rsidP="009E4051">
            <w:pPr>
              <w:spacing w:after="0" w:line="240" w:lineRule="auto"/>
              <w:jc w:val="right"/>
              <w:rPr>
                <w:rFonts w:asciiTheme="minorHAnsi" w:hAnsiTheme="minorHAnsi" w:cstheme="minorHAnsi"/>
                <w:bCs/>
                <w:color w:val="000000" w:themeColor="text1"/>
                <w:sz w:val="20"/>
                <w:szCs w:val="20"/>
              </w:rPr>
            </w:pPr>
            <w:r w:rsidRPr="006D26BB">
              <w:rPr>
                <w:rFonts w:asciiTheme="minorHAnsi" w:hAnsiTheme="minorHAnsi" w:cstheme="minorHAnsi"/>
                <w:color w:val="000000"/>
                <w:sz w:val="20"/>
                <w:szCs w:val="20"/>
              </w:rPr>
              <w:t>-36%</w:t>
            </w:r>
          </w:p>
        </w:tc>
      </w:tr>
    </w:tbl>
    <w:p w14:paraId="4F68E72E" w14:textId="77777777" w:rsidR="00243A3F" w:rsidRPr="006D26BB" w:rsidRDefault="00243A3F" w:rsidP="00243A3F">
      <w:pPr>
        <w:widowControl w:val="0"/>
        <w:overflowPunct w:val="0"/>
        <w:autoSpaceDE w:val="0"/>
        <w:autoSpaceDN w:val="0"/>
        <w:adjustRightInd w:val="0"/>
        <w:spacing w:after="0" w:line="240" w:lineRule="auto"/>
        <w:rPr>
          <w:rFonts w:asciiTheme="minorHAnsi" w:hAnsiTheme="minorHAnsi" w:cstheme="minorHAnsi"/>
          <w:bCs/>
          <w:color w:val="000000" w:themeColor="text1"/>
          <w:sz w:val="20"/>
          <w:szCs w:val="20"/>
        </w:rPr>
      </w:pPr>
    </w:p>
    <w:p w14:paraId="3E17017B" w14:textId="77777777" w:rsidR="00243A3F" w:rsidRPr="006D26BB" w:rsidRDefault="00243A3F" w:rsidP="00243A3F">
      <w:pPr>
        <w:widowControl w:val="0"/>
        <w:overflowPunct w:val="0"/>
        <w:autoSpaceDE w:val="0"/>
        <w:autoSpaceDN w:val="0"/>
        <w:adjustRightInd w:val="0"/>
        <w:spacing w:after="0" w:line="240" w:lineRule="auto"/>
        <w:rPr>
          <w:rFonts w:asciiTheme="minorHAnsi" w:hAnsiTheme="minorHAnsi" w:cstheme="minorHAnsi"/>
          <w:b/>
          <w:color w:val="000000" w:themeColor="text1"/>
          <w:sz w:val="20"/>
          <w:szCs w:val="20"/>
        </w:rPr>
      </w:pPr>
      <w:r w:rsidRPr="006D26BB">
        <w:rPr>
          <w:rFonts w:asciiTheme="minorHAnsi" w:hAnsiTheme="minorHAnsi" w:cstheme="minorHAnsi"/>
          <w:b/>
          <w:color w:val="000000" w:themeColor="text1"/>
          <w:sz w:val="20"/>
          <w:szCs w:val="20"/>
        </w:rPr>
        <w:t>Dividend</w:t>
      </w:r>
    </w:p>
    <w:p w14:paraId="01715FF5" w14:textId="646839B5" w:rsidR="00243A3F" w:rsidRPr="006D26BB" w:rsidRDefault="0017327B" w:rsidP="00243A3F">
      <w:pPr>
        <w:pStyle w:val="to"/>
        <w:spacing w:before="0" w:beforeAutospacing="0" w:after="0" w:afterAutospacing="0"/>
        <w:jc w:val="both"/>
        <w:rPr>
          <w:rStyle w:val="qz"/>
          <w:rFonts w:asciiTheme="minorHAnsi" w:hAnsiTheme="minorHAnsi" w:cstheme="minorHAnsi"/>
          <w:bCs/>
          <w:color w:val="000000" w:themeColor="text1"/>
          <w:sz w:val="20"/>
          <w:szCs w:val="20"/>
        </w:rPr>
      </w:pPr>
      <w:r w:rsidRPr="005B4A0E">
        <w:rPr>
          <w:rFonts w:asciiTheme="minorHAnsi" w:hAnsiTheme="minorHAnsi" w:cstheme="minorHAnsi"/>
          <w:bCs/>
          <w:color w:val="000000" w:themeColor="text1"/>
          <w:sz w:val="20"/>
          <w:szCs w:val="20"/>
        </w:rPr>
        <w:t>In line with our established dividend policy of distributing 50% of the Group’s adjusted profit after tax, a</w:t>
      </w:r>
      <w:r>
        <w:rPr>
          <w:rFonts w:asciiTheme="minorHAnsi" w:hAnsiTheme="minorHAnsi" w:cstheme="minorHAnsi"/>
          <w:bCs/>
          <w:color w:val="000000" w:themeColor="text1"/>
          <w:sz w:val="20"/>
          <w:szCs w:val="20"/>
        </w:rPr>
        <w:t xml:space="preserve">n </w:t>
      </w:r>
      <w:r w:rsidRPr="005B4A0E">
        <w:rPr>
          <w:rFonts w:asciiTheme="minorHAnsi" w:hAnsiTheme="minorHAnsi" w:cstheme="minorHAnsi"/>
          <w:bCs/>
          <w:color w:val="000000" w:themeColor="text1"/>
          <w:sz w:val="20"/>
          <w:szCs w:val="20"/>
        </w:rPr>
        <w:t>interim dividend of 2.43 pence per share (H1 2022: 2.30 pence per share)</w:t>
      </w:r>
      <w:r>
        <w:rPr>
          <w:rStyle w:val="qz"/>
          <w:rFonts w:asciiTheme="minorHAnsi" w:hAnsiTheme="minorHAnsi" w:cstheme="minorHAnsi"/>
          <w:bCs/>
          <w:color w:val="000000" w:themeColor="text1"/>
          <w:sz w:val="20"/>
          <w:szCs w:val="20"/>
        </w:rPr>
        <w:t xml:space="preserve"> </w:t>
      </w:r>
      <w:r w:rsidRPr="005B4A0E">
        <w:rPr>
          <w:rStyle w:val="qz"/>
          <w:rFonts w:asciiTheme="minorHAnsi" w:hAnsiTheme="minorHAnsi" w:cstheme="minorHAnsi"/>
          <w:bCs/>
          <w:color w:val="000000" w:themeColor="text1"/>
          <w:sz w:val="20"/>
          <w:szCs w:val="20"/>
        </w:rPr>
        <w:t xml:space="preserve">was approved by the Board on 28 </w:t>
      </w:r>
      <w:r w:rsidR="00C64F83">
        <w:rPr>
          <w:rStyle w:val="qz"/>
          <w:rFonts w:asciiTheme="minorHAnsi" w:hAnsiTheme="minorHAnsi" w:cstheme="minorHAnsi"/>
          <w:bCs/>
          <w:color w:val="000000" w:themeColor="text1"/>
          <w:sz w:val="20"/>
          <w:szCs w:val="20"/>
        </w:rPr>
        <w:t>March</w:t>
      </w:r>
      <w:r w:rsidRPr="005B4A0E">
        <w:rPr>
          <w:rStyle w:val="qz"/>
          <w:rFonts w:asciiTheme="minorHAnsi" w:hAnsiTheme="minorHAnsi" w:cstheme="minorHAnsi"/>
          <w:bCs/>
          <w:color w:val="000000" w:themeColor="text1"/>
          <w:sz w:val="20"/>
          <w:szCs w:val="20"/>
        </w:rPr>
        <w:t xml:space="preserve"> 2023 and will be paid on 30 June 2023 to shareholders on record as at 2 June 2023 (ex-dividend date being 1 June 2023).</w:t>
      </w:r>
      <w:bookmarkStart w:id="8" w:name="_Hlk111018071"/>
    </w:p>
    <w:p w14:paraId="757AFE1C" w14:textId="77777777" w:rsidR="00243A3F" w:rsidRPr="006D26BB" w:rsidRDefault="00243A3F" w:rsidP="00243A3F">
      <w:pPr>
        <w:pStyle w:val="to"/>
        <w:spacing w:before="0" w:beforeAutospacing="0" w:after="0" w:afterAutospacing="0"/>
        <w:jc w:val="both"/>
        <w:rPr>
          <w:rStyle w:val="qz"/>
          <w:rFonts w:asciiTheme="minorHAnsi" w:hAnsiTheme="minorHAnsi" w:cstheme="minorHAnsi"/>
          <w:bCs/>
          <w:color w:val="000000" w:themeColor="text1"/>
          <w:sz w:val="20"/>
          <w:szCs w:val="20"/>
        </w:rPr>
      </w:pPr>
    </w:p>
    <w:p w14:paraId="0B81B0B8" w14:textId="77777777" w:rsidR="00243A3F" w:rsidRPr="006D26BB" w:rsidRDefault="00243A3F" w:rsidP="00243A3F">
      <w:pPr>
        <w:pStyle w:val="to"/>
        <w:spacing w:before="0" w:beforeAutospacing="0" w:after="0" w:afterAutospacing="0"/>
        <w:jc w:val="both"/>
        <w:rPr>
          <w:rFonts w:asciiTheme="minorHAnsi" w:hAnsiTheme="minorHAnsi" w:cstheme="minorHAnsi"/>
          <w:bCs/>
          <w:color w:val="000000" w:themeColor="text1"/>
          <w:sz w:val="20"/>
          <w:szCs w:val="20"/>
        </w:rPr>
      </w:pPr>
    </w:p>
    <w:bookmarkEnd w:id="8"/>
    <w:p w14:paraId="0965301B" w14:textId="77777777" w:rsidR="00243A3F" w:rsidRPr="006D26BB" w:rsidRDefault="00243A3F" w:rsidP="00243A3F">
      <w:pPr>
        <w:widowControl w:val="0"/>
        <w:overflowPunct w:val="0"/>
        <w:autoSpaceDE w:val="0"/>
        <w:autoSpaceDN w:val="0"/>
        <w:adjustRightInd w:val="0"/>
        <w:spacing w:after="0" w:line="240" w:lineRule="auto"/>
        <w:rPr>
          <w:rFonts w:asciiTheme="minorHAnsi" w:hAnsiTheme="minorHAnsi" w:cstheme="minorHAnsi"/>
          <w:bCs/>
          <w:color w:val="000000" w:themeColor="text1"/>
          <w:sz w:val="20"/>
          <w:szCs w:val="20"/>
        </w:rPr>
      </w:pPr>
    </w:p>
    <w:p w14:paraId="09F32433" w14:textId="77777777" w:rsidR="00243A3F" w:rsidRPr="006D26BB" w:rsidRDefault="00243A3F" w:rsidP="00243A3F">
      <w:pPr>
        <w:shd w:val="clear" w:color="auto" w:fill="FFFFFF"/>
        <w:spacing w:after="0" w:line="240" w:lineRule="auto"/>
        <w:rPr>
          <w:rFonts w:asciiTheme="minorHAnsi" w:hAnsiTheme="minorHAnsi" w:cstheme="minorHAnsi"/>
          <w:bCs/>
          <w:color w:val="000000" w:themeColor="tex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243A3F" w:rsidRPr="006D26BB" w14:paraId="01EAD205" w14:textId="77777777" w:rsidTr="005C1CFC">
        <w:tc>
          <w:tcPr>
            <w:tcW w:w="4508" w:type="dxa"/>
          </w:tcPr>
          <w:p w14:paraId="4FC06855" w14:textId="77777777" w:rsidR="00243A3F" w:rsidRPr="006D26BB" w:rsidRDefault="00243A3F" w:rsidP="005C1CFC">
            <w:pPr>
              <w:rPr>
                <w:rFonts w:asciiTheme="minorHAnsi" w:hAnsiTheme="minorHAnsi" w:cstheme="minorHAnsi"/>
                <w:b/>
                <w:color w:val="000000" w:themeColor="text1"/>
                <w:sz w:val="20"/>
                <w:szCs w:val="20"/>
              </w:rPr>
            </w:pPr>
            <w:bookmarkStart w:id="9" w:name="page16"/>
            <w:bookmarkStart w:id="10" w:name="page18"/>
            <w:bookmarkStart w:id="11" w:name="page54"/>
            <w:bookmarkStart w:id="12" w:name="page57"/>
            <w:bookmarkEnd w:id="9"/>
            <w:bookmarkEnd w:id="10"/>
            <w:bookmarkEnd w:id="11"/>
            <w:bookmarkEnd w:id="12"/>
            <w:r w:rsidRPr="006D26BB">
              <w:rPr>
                <w:rFonts w:asciiTheme="minorHAnsi" w:hAnsiTheme="minorHAnsi" w:cstheme="minorHAnsi"/>
                <w:b/>
                <w:color w:val="000000" w:themeColor="text1"/>
                <w:sz w:val="20"/>
                <w:szCs w:val="20"/>
              </w:rPr>
              <w:t xml:space="preserve">Simon Showman  </w:t>
            </w:r>
          </w:p>
        </w:tc>
        <w:tc>
          <w:tcPr>
            <w:tcW w:w="4508" w:type="dxa"/>
          </w:tcPr>
          <w:p w14:paraId="236F5A60" w14:textId="32D857ED" w:rsidR="00243A3F" w:rsidRPr="006D26BB" w:rsidRDefault="001750A0" w:rsidP="005C1CFC">
            <w:pP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James McCarthy</w:t>
            </w:r>
          </w:p>
        </w:tc>
      </w:tr>
      <w:tr w:rsidR="00243A3F" w:rsidRPr="006D26BB" w14:paraId="4FEBF684" w14:textId="77777777" w:rsidTr="005C1CFC">
        <w:trPr>
          <w:trHeight w:val="70"/>
        </w:trPr>
        <w:tc>
          <w:tcPr>
            <w:tcW w:w="4508" w:type="dxa"/>
          </w:tcPr>
          <w:p w14:paraId="2887C5B0" w14:textId="77777777" w:rsidR="00243A3F" w:rsidRPr="006D26BB" w:rsidRDefault="00243A3F" w:rsidP="005C1CFC">
            <w:pPr>
              <w:rPr>
                <w:rFonts w:asciiTheme="minorHAnsi" w:hAnsiTheme="minorHAnsi" w:cstheme="minorHAnsi"/>
                <w:bCs/>
                <w:color w:val="000000" w:themeColor="text1"/>
                <w:sz w:val="20"/>
                <w:szCs w:val="20"/>
              </w:rPr>
            </w:pPr>
            <w:r w:rsidRPr="006D26BB">
              <w:rPr>
                <w:rFonts w:asciiTheme="minorHAnsi" w:hAnsiTheme="minorHAnsi" w:cstheme="minorHAnsi"/>
                <w:bCs/>
                <w:color w:val="000000" w:themeColor="text1"/>
                <w:sz w:val="20"/>
                <w:szCs w:val="20"/>
              </w:rPr>
              <w:t>Chief Executive Officer</w:t>
            </w:r>
          </w:p>
        </w:tc>
        <w:tc>
          <w:tcPr>
            <w:tcW w:w="4508" w:type="dxa"/>
          </w:tcPr>
          <w:p w14:paraId="7BB7A96F" w14:textId="30B1E648" w:rsidR="00243A3F" w:rsidRPr="006D26BB" w:rsidRDefault="001750A0" w:rsidP="005C1CFC">
            <w:pP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 xml:space="preserve">Chairman </w:t>
            </w:r>
          </w:p>
        </w:tc>
      </w:tr>
    </w:tbl>
    <w:p w14:paraId="53BD8B39" w14:textId="77777777" w:rsidR="00F11EB1" w:rsidRPr="00997EF7" w:rsidRDefault="00F11EB1" w:rsidP="00846EEE">
      <w:pPr>
        <w:spacing w:after="0" w:line="240" w:lineRule="auto"/>
        <w:rPr>
          <w:rFonts w:asciiTheme="minorHAnsi" w:hAnsiTheme="minorHAnsi" w:cstheme="minorHAnsi"/>
          <w:sz w:val="18"/>
          <w:szCs w:val="18"/>
          <w:lang w:val="en-US"/>
        </w:rPr>
      </w:pPr>
    </w:p>
    <w:p w14:paraId="0CBA31CD" w14:textId="77777777" w:rsidR="00BD0800" w:rsidRDefault="00BD0800">
      <w:pPr>
        <w:spacing w:after="0" w:line="240" w:lineRule="auto"/>
        <w:rPr>
          <w:rFonts w:cstheme="minorHAnsi"/>
          <w:sz w:val="20"/>
          <w:szCs w:val="20"/>
        </w:rPr>
      </w:pPr>
      <w:r>
        <w:rPr>
          <w:rFonts w:cstheme="minorHAnsi"/>
          <w:sz w:val="20"/>
          <w:szCs w:val="20"/>
        </w:rPr>
        <w:br w:type="page"/>
      </w:r>
    </w:p>
    <w:p w14:paraId="7C4C408F" w14:textId="77777777" w:rsidR="00CC7A30" w:rsidRPr="00846EEE" w:rsidRDefault="00CC7A30" w:rsidP="00CC7A30">
      <w:pPr>
        <w:suppressAutoHyphens/>
        <w:spacing w:after="0"/>
        <w:jc w:val="both"/>
        <w:rPr>
          <w:rFonts w:asciiTheme="minorHAnsi" w:hAnsiTheme="minorHAnsi" w:cstheme="minorHAnsi"/>
          <w:b/>
          <w:sz w:val="18"/>
          <w:szCs w:val="18"/>
        </w:rPr>
      </w:pPr>
      <w:r w:rsidRPr="00846EEE">
        <w:rPr>
          <w:rFonts w:asciiTheme="minorHAnsi" w:hAnsiTheme="minorHAnsi" w:cstheme="minorHAnsi"/>
          <w:b/>
          <w:sz w:val="18"/>
          <w:szCs w:val="18"/>
        </w:rPr>
        <w:lastRenderedPageBreak/>
        <w:t xml:space="preserve">Consolidated Income Statement </w:t>
      </w:r>
    </w:p>
    <w:p w14:paraId="1455979A" w14:textId="58CE4738" w:rsidR="00CC7A30" w:rsidRPr="00846EEE" w:rsidRDefault="00CC7A30" w:rsidP="00CC7A30">
      <w:pPr>
        <w:suppressAutoHyphens/>
        <w:spacing w:after="0"/>
        <w:jc w:val="both"/>
        <w:rPr>
          <w:rFonts w:asciiTheme="minorHAnsi" w:hAnsiTheme="minorHAnsi" w:cstheme="minorHAnsi"/>
          <w:b/>
          <w:sz w:val="18"/>
          <w:szCs w:val="18"/>
        </w:rPr>
      </w:pPr>
    </w:p>
    <w:tbl>
      <w:tblPr>
        <w:tblW w:w="5108" w:type="pct"/>
        <w:tblLayout w:type="fixed"/>
        <w:tblCellMar>
          <w:left w:w="0" w:type="dxa"/>
          <w:right w:w="0" w:type="dxa"/>
        </w:tblCellMar>
        <w:tblLook w:val="0000" w:firstRow="0" w:lastRow="0" w:firstColumn="0" w:lastColumn="0" w:noHBand="0" w:noVBand="0"/>
      </w:tblPr>
      <w:tblGrid>
        <w:gridCol w:w="4964"/>
        <w:gridCol w:w="1417"/>
        <w:gridCol w:w="1417"/>
        <w:gridCol w:w="1417"/>
      </w:tblGrid>
      <w:tr w:rsidR="0000593A" w:rsidRPr="00551D5A" w14:paraId="6F3493DF" w14:textId="77777777" w:rsidTr="00997EF7">
        <w:trPr>
          <w:trHeight w:val="250"/>
        </w:trPr>
        <w:tc>
          <w:tcPr>
            <w:tcW w:w="2692" w:type="pct"/>
            <w:shd w:val="clear" w:color="auto" w:fill="auto"/>
            <w:vAlign w:val="bottom"/>
          </w:tcPr>
          <w:p w14:paraId="32A5A6EB" w14:textId="77777777" w:rsidR="0000593A" w:rsidRPr="00846EEE" w:rsidRDefault="0000593A" w:rsidP="0000593A">
            <w:pPr>
              <w:suppressAutoHyphens/>
              <w:spacing w:after="0"/>
              <w:jc w:val="both"/>
              <w:rPr>
                <w:rFonts w:asciiTheme="minorHAnsi" w:hAnsiTheme="minorHAnsi" w:cstheme="minorHAnsi"/>
                <w:b/>
                <w:bCs/>
                <w:sz w:val="18"/>
                <w:szCs w:val="18"/>
              </w:rPr>
            </w:pPr>
          </w:p>
        </w:tc>
        <w:tc>
          <w:tcPr>
            <w:tcW w:w="769" w:type="pct"/>
            <w:shd w:val="clear" w:color="auto" w:fill="auto"/>
            <w:vAlign w:val="bottom"/>
          </w:tcPr>
          <w:p w14:paraId="0CF3BDC6" w14:textId="77777777" w:rsidR="00C02345" w:rsidRDefault="0000593A" w:rsidP="00C02345">
            <w:pPr>
              <w:suppressAutoHyphens/>
              <w:spacing w:after="0"/>
              <w:ind w:right="57"/>
              <w:jc w:val="right"/>
              <w:rPr>
                <w:rFonts w:asciiTheme="minorHAnsi" w:hAnsiTheme="minorHAnsi" w:cstheme="minorHAnsi"/>
                <w:b/>
                <w:bCs/>
                <w:sz w:val="18"/>
                <w:szCs w:val="18"/>
              </w:rPr>
            </w:pPr>
            <w:r w:rsidRPr="00846EEE">
              <w:rPr>
                <w:rFonts w:asciiTheme="minorHAnsi" w:hAnsiTheme="minorHAnsi" w:cstheme="minorHAnsi"/>
                <w:b/>
                <w:bCs/>
                <w:sz w:val="18"/>
                <w:szCs w:val="18"/>
              </w:rPr>
              <w:t xml:space="preserve">Unaudited </w:t>
            </w:r>
          </w:p>
          <w:p w14:paraId="79811916" w14:textId="1D381E6B" w:rsidR="00C02345" w:rsidRDefault="0000593A" w:rsidP="00C02345">
            <w:pPr>
              <w:suppressAutoHyphens/>
              <w:spacing w:after="0"/>
              <w:ind w:right="57"/>
              <w:jc w:val="right"/>
              <w:rPr>
                <w:rFonts w:asciiTheme="minorHAnsi" w:hAnsiTheme="minorHAnsi" w:cstheme="minorHAnsi"/>
                <w:b/>
                <w:bCs/>
                <w:sz w:val="18"/>
                <w:szCs w:val="18"/>
              </w:rPr>
            </w:pPr>
            <w:r w:rsidRPr="00846EEE">
              <w:rPr>
                <w:rFonts w:asciiTheme="minorHAnsi" w:hAnsiTheme="minorHAnsi" w:cstheme="minorHAnsi"/>
                <w:b/>
                <w:bCs/>
                <w:sz w:val="18"/>
                <w:szCs w:val="18"/>
              </w:rPr>
              <w:t xml:space="preserve">6 months </w:t>
            </w:r>
            <w:proofErr w:type="gramStart"/>
            <w:r w:rsidRPr="00846EEE">
              <w:rPr>
                <w:rFonts w:asciiTheme="minorHAnsi" w:hAnsiTheme="minorHAnsi" w:cstheme="minorHAnsi"/>
                <w:b/>
                <w:bCs/>
                <w:sz w:val="18"/>
                <w:szCs w:val="18"/>
              </w:rPr>
              <w:t>ended</w:t>
            </w:r>
            <w:proofErr w:type="gramEnd"/>
            <w:r w:rsidRPr="00846EEE">
              <w:rPr>
                <w:rFonts w:asciiTheme="minorHAnsi" w:hAnsiTheme="minorHAnsi" w:cstheme="minorHAnsi"/>
                <w:b/>
                <w:bCs/>
                <w:sz w:val="18"/>
                <w:szCs w:val="18"/>
              </w:rPr>
              <w:t xml:space="preserve"> </w:t>
            </w:r>
          </w:p>
          <w:p w14:paraId="18015326" w14:textId="564A3FDE" w:rsidR="0000593A" w:rsidRPr="00846EEE" w:rsidRDefault="0000593A" w:rsidP="00997EF7">
            <w:pPr>
              <w:suppressAutoHyphens/>
              <w:spacing w:after="0"/>
              <w:ind w:right="57"/>
              <w:jc w:val="right"/>
              <w:rPr>
                <w:rFonts w:asciiTheme="minorHAnsi" w:hAnsiTheme="minorHAnsi" w:cstheme="minorHAnsi"/>
                <w:b/>
                <w:bCs/>
                <w:sz w:val="18"/>
                <w:szCs w:val="18"/>
              </w:rPr>
            </w:pPr>
            <w:r w:rsidRPr="00846EEE">
              <w:rPr>
                <w:rFonts w:asciiTheme="minorHAnsi" w:hAnsiTheme="minorHAnsi" w:cstheme="minorHAnsi"/>
                <w:b/>
                <w:bCs/>
                <w:sz w:val="18"/>
                <w:szCs w:val="18"/>
              </w:rPr>
              <w:t>31 January 2023</w:t>
            </w:r>
          </w:p>
        </w:tc>
        <w:tc>
          <w:tcPr>
            <w:tcW w:w="769" w:type="pct"/>
            <w:vAlign w:val="bottom"/>
          </w:tcPr>
          <w:p w14:paraId="514F790A" w14:textId="77777777" w:rsidR="00C02345" w:rsidRDefault="0000593A" w:rsidP="00C02345">
            <w:pPr>
              <w:suppressAutoHyphens/>
              <w:spacing w:after="0"/>
              <w:ind w:right="57"/>
              <w:jc w:val="right"/>
              <w:rPr>
                <w:rFonts w:asciiTheme="minorHAnsi" w:hAnsiTheme="minorHAnsi" w:cstheme="minorHAnsi"/>
                <w:sz w:val="18"/>
                <w:szCs w:val="18"/>
              </w:rPr>
            </w:pPr>
            <w:r w:rsidRPr="00846EEE">
              <w:rPr>
                <w:rFonts w:asciiTheme="minorHAnsi" w:hAnsiTheme="minorHAnsi" w:cstheme="minorHAnsi"/>
                <w:sz w:val="18"/>
                <w:szCs w:val="18"/>
              </w:rPr>
              <w:t xml:space="preserve">Unaudited </w:t>
            </w:r>
          </w:p>
          <w:p w14:paraId="21888C2D" w14:textId="26BD9024" w:rsidR="00C02345" w:rsidRDefault="0000593A" w:rsidP="00C02345">
            <w:pPr>
              <w:suppressAutoHyphens/>
              <w:spacing w:after="0"/>
              <w:ind w:right="57"/>
              <w:jc w:val="right"/>
              <w:rPr>
                <w:rFonts w:asciiTheme="minorHAnsi" w:hAnsiTheme="minorHAnsi" w:cstheme="minorHAnsi"/>
                <w:sz w:val="18"/>
                <w:szCs w:val="18"/>
              </w:rPr>
            </w:pPr>
            <w:r w:rsidRPr="00846EEE">
              <w:rPr>
                <w:rFonts w:asciiTheme="minorHAnsi" w:hAnsiTheme="minorHAnsi" w:cstheme="minorHAnsi"/>
                <w:sz w:val="18"/>
                <w:szCs w:val="18"/>
              </w:rPr>
              <w:t xml:space="preserve">6 months </w:t>
            </w:r>
            <w:proofErr w:type="gramStart"/>
            <w:r w:rsidRPr="00846EEE">
              <w:rPr>
                <w:rFonts w:asciiTheme="minorHAnsi" w:hAnsiTheme="minorHAnsi" w:cstheme="minorHAnsi"/>
                <w:sz w:val="18"/>
                <w:szCs w:val="18"/>
              </w:rPr>
              <w:t>ended</w:t>
            </w:r>
            <w:proofErr w:type="gramEnd"/>
            <w:r w:rsidRPr="00846EEE">
              <w:rPr>
                <w:rFonts w:asciiTheme="minorHAnsi" w:hAnsiTheme="minorHAnsi" w:cstheme="minorHAnsi"/>
                <w:sz w:val="18"/>
                <w:szCs w:val="18"/>
              </w:rPr>
              <w:t xml:space="preserve"> </w:t>
            </w:r>
          </w:p>
          <w:p w14:paraId="18F2AF69" w14:textId="2B34BECD" w:rsidR="0000593A" w:rsidRPr="00846EEE" w:rsidRDefault="0000593A" w:rsidP="00997EF7">
            <w:pPr>
              <w:suppressAutoHyphens/>
              <w:spacing w:after="0"/>
              <w:ind w:right="57"/>
              <w:jc w:val="right"/>
              <w:rPr>
                <w:rFonts w:asciiTheme="minorHAnsi" w:hAnsiTheme="minorHAnsi" w:cstheme="minorHAnsi"/>
                <w:sz w:val="18"/>
                <w:szCs w:val="18"/>
              </w:rPr>
            </w:pPr>
            <w:r w:rsidRPr="00846EEE">
              <w:rPr>
                <w:rFonts w:asciiTheme="minorHAnsi" w:hAnsiTheme="minorHAnsi" w:cstheme="minorHAnsi"/>
                <w:sz w:val="18"/>
                <w:szCs w:val="18"/>
              </w:rPr>
              <w:t>31 January 2022</w:t>
            </w:r>
          </w:p>
        </w:tc>
        <w:tc>
          <w:tcPr>
            <w:tcW w:w="769" w:type="pct"/>
            <w:shd w:val="clear" w:color="auto" w:fill="auto"/>
            <w:tcMar>
              <w:right w:w="58" w:type="dxa"/>
            </w:tcMar>
            <w:vAlign w:val="bottom"/>
          </w:tcPr>
          <w:p w14:paraId="2A520514" w14:textId="77777777" w:rsidR="00C02345" w:rsidRDefault="0000593A" w:rsidP="0000593A">
            <w:pPr>
              <w:suppressAutoHyphens/>
              <w:spacing w:after="0"/>
              <w:jc w:val="right"/>
              <w:rPr>
                <w:rFonts w:asciiTheme="minorHAnsi" w:hAnsiTheme="minorHAnsi" w:cstheme="minorHAnsi"/>
                <w:sz w:val="18"/>
                <w:szCs w:val="18"/>
              </w:rPr>
            </w:pPr>
            <w:r w:rsidRPr="00846EEE">
              <w:rPr>
                <w:rFonts w:asciiTheme="minorHAnsi" w:hAnsiTheme="minorHAnsi" w:cstheme="minorHAnsi"/>
                <w:sz w:val="18"/>
                <w:szCs w:val="18"/>
              </w:rPr>
              <w:t xml:space="preserve">Audited </w:t>
            </w:r>
          </w:p>
          <w:p w14:paraId="6D1D0A9E" w14:textId="590EDD70" w:rsidR="00C02345" w:rsidRDefault="0000593A" w:rsidP="0000593A">
            <w:pPr>
              <w:suppressAutoHyphens/>
              <w:spacing w:after="0"/>
              <w:jc w:val="right"/>
              <w:rPr>
                <w:rFonts w:asciiTheme="minorHAnsi" w:hAnsiTheme="minorHAnsi" w:cstheme="minorHAnsi"/>
                <w:sz w:val="18"/>
                <w:szCs w:val="18"/>
              </w:rPr>
            </w:pPr>
            <w:r w:rsidRPr="00846EEE">
              <w:rPr>
                <w:rFonts w:asciiTheme="minorHAnsi" w:hAnsiTheme="minorHAnsi" w:cstheme="minorHAnsi"/>
                <w:sz w:val="18"/>
                <w:szCs w:val="18"/>
              </w:rPr>
              <w:t xml:space="preserve">year </w:t>
            </w:r>
            <w:proofErr w:type="gramStart"/>
            <w:r w:rsidRPr="00846EEE">
              <w:rPr>
                <w:rFonts w:asciiTheme="minorHAnsi" w:hAnsiTheme="minorHAnsi" w:cstheme="minorHAnsi"/>
                <w:sz w:val="18"/>
                <w:szCs w:val="18"/>
              </w:rPr>
              <w:t>ended</w:t>
            </w:r>
            <w:proofErr w:type="gramEnd"/>
            <w:r w:rsidRPr="00846EEE">
              <w:rPr>
                <w:rFonts w:asciiTheme="minorHAnsi" w:hAnsiTheme="minorHAnsi" w:cstheme="minorHAnsi"/>
                <w:sz w:val="18"/>
                <w:szCs w:val="18"/>
              </w:rPr>
              <w:t xml:space="preserve"> </w:t>
            </w:r>
          </w:p>
          <w:p w14:paraId="05DFA11D" w14:textId="08DBA386" w:rsidR="0000593A" w:rsidRPr="00846EEE" w:rsidRDefault="0000593A" w:rsidP="0000593A">
            <w:pPr>
              <w:suppressAutoHyphens/>
              <w:spacing w:after="0"/>
              <w:jc w:val="right"/>
              <w:rPr>
                <w:rFonts w:asciiTheme="minorHAnsi" w:hAnsiTheme="minorHAnsi" w:cstheme="minorHAnsi"/>
                <w:sz w:val="18"/>
                <w:szCs w:val="18"/>
              </w:rPr>
            </w:pPr>
            <w:r w:rsidRPr="00846EEE">
              <w:rPr>
                <w:rFonts w:asciiTheme="minorHAnsi" w:hAnsiTheme="minorHAnsi" w:cstheme="minorHAnsi"/>
                <w:sz w:val="18"/>
                <w:szCs w:val="18"/>
              </w:rPr>
              <w:t>31 July 2022</w:t>
            </w:r>
          </w:p>
        </w:tc>
      </w:tr>
      <w:tr w:rsidR="0000593A" w:rsidRPr="00551D5A" w14:paraId="2698C58B" w14:textId="77777777" w:rsidTr="00997EF7">
        <w:trPr>
          <w:trHeight w:val="267"/>
        </w:trPr>
        <w:tc>
          <w:tcPr>
            <w:tcW w:w="2692" w:type="pct"/>
            <w:tcBorders>
              <w:bottom w:val="single" w:sz="4" w:space="0" w:color="000000" w:themeColor="text1"/>
            </w:tcBorders>
            <w:shd w:val="clear" w:color="auto" w:fill="auto"/>
            <w:vAlign w:val="bottom"/>
          </w:tcPr>
          <w:p w14:paraId="4F19D702" w14:textId="77777777" w:rsidR="0000593A" w:rsidRPr="00846EEE" w:rsidRDefault="0000593A" w:rsidP="0000593A">
            <w:pPr>
              <w:suppressAutoHyphens/>
              <w:spacing w:after="0"/>
              <w:jc w:val="both"/>
              <w:rPr>
                <w:rFonts w:asciiTheme="minorHAnsi" w:hAnsiTheme="minorHAnsi" w:cstheme="minorHAnsi"/>
                <w:b/>
                <w:bCs/>
                <w:sz w:val="18"/>
                <w:szCs w:val="18"/>
              </w:rPr>
            </w:pPr>
          </w:p>
        </w:tc>
        <w:tc>
          <w:tcPr>
            <w:tcW w:w="769" w:type="pct"/>
            <w:tcBorders>
              <w:bottom w:val="single" w:sz="4" w:space="0" w:color="000000" w:themeColor="text1"/>
            </w:tcBorders>
            <w:shd w:val="clear" w:color="auto" w:fill="auto"/>
            <w:vAlign w:val="bottom"/>
          </w:tcPr>
          <w:p w14:paraId="2D5A5174" w14:textId="3B5A5ADE" w:rsidR="0000593A" w:rsidRPr="00846EEE" w:rsidRDefault="0000593A" w:rsidP="00997EF7">
            <w:pPr>
              <w:suppressAutoHyphens/>
              <w:spacing w:after="0"/>
              <w:ind w:right="57"/>
              <w:jc w:val="right"/>
              <w:rPr>
                <w:rFonts w:asciiTheme="minorHAnsi" w:hAnsiTheme="minorHAnsi" w:cstheme="minorHAnsi"/>
                <w:b/>
                <w:bCs/>
                <w:sz w:val="18"/>
                <w:szCs w:val="18"/>
              </w:rPr>
            </w:pPr>
            <w:r w:rsidRPr="00846EEE">
              <w:rPr>
                <w:rFonts w:asciiTheme="minorHAnsi" w:hAnsiTheme="minorHAnsi" w:cstheme="minorHAnsi"/>
                <w:b/>
                <w:bCs/>
                <w:sz w:val="18"/>
                <w:szCs w:val="18"/>
              </w:rPr>
              <w:t>£’000</w:t>
            </w:r>
          </w:p>
        </w:tc>
        <w:tc>
          <w:tcPr>
            <w:tcW w:w="769" w:type="pct"/>
            <w:tcBorders>
              <w:bottom w:val="single" w:sz="4" w:space="0" w:color="000000" w:themeColor="text1"/>
            </w:tcBorders>
            <w:vAlign w:val="bottom"/>
          </w:tcPr>
          <w:p w14:paraId="03FB6E09" w14:textId="38DA850D" w:rsidR="0000593A" w:rsidRPr="00846EEE" w:rsidRDefault="0000593A" w:rsidP="00997EF7">
            <w:pPr>
              <w:suppressAutoHyphens/>
              <w:spacing w:after="0"/>
              <w:ind w:right="57"/>
              <w:jc w:val="right"/>
              <w:rPr>
                <w:rFonts w:asciiTheme="minorHAnsi" w:hAnsiTheme="minorHAnsi" w:cstheme="minorHAnsi"/>
                <w:sz w:val="18"/>
                <w:szCs w:val="18"/>
              </w:rPr>
            </w:pPr>
            <w:r w:rsidRPr="00846EEE">
              <w:rPr>
                <w:rFonts w:asciiTheme="minorHAnsi" w:hAnsiTheme="minorHAnsi" w:cstheme="minorHAnsi"/>
                <w:sz w:val="18"/>
                <w:szCs w:val="18"/>
              </w:rPr>
              <w:t>£’000</w:t>
            </w:r>
          </w:p>
        </w:tc>
        <w:tc>
          <w:tcPr>
            <w:tcW w:w="769" w:type="pct"/>
            <w:tcBorders>
              <w:bottom w:val="single" w:sz="4" w:space="0" w:color="000000" w:themeColor="text1"/>
            </w:tcBorders>
            <w:shd w:val="clear" w:color="auto" w:fill="auto"/>
            <w:tcMar>
              <w:right w:w="58" w:type="dxa"/>
            </w:tcMar>
            <w:vAlign w:val="bottom"/>
          </w:tcPr>
          <w:p w14:paraId="7CF38DED" w14:textId="31401F3E" w:rsidR="0000593A" w:rsidRPr="00846EEE" w:rsidRDefault="0000593A" w:rsidP="0000593A">
            <w:pPr>
              <w:suppressAutoHyphens/>
              <w:spacing w:after="0"/>
              <w:jc w:val="right"/>
              <w:rPr>
                <w:rFonts w:asciiTheme="minorHAnsi" w:hAnsiTheme="minorHAnsi" w:cstheme="minorHAnsi"/>
                <w:sz w:val="18"/>
                <w:szCs w:val="18"/>
              </w:rPr>
            </w:pPr>
            <w:r w:rsidRPr="00846EEE">
              <w:rPr>
                <w:rFonts w:asciiTheme="minorHAnsi" w:hAnsiTheme="minorHAnsi" w:cstheme="minorHAnsi"/>
                <w:sz w:val="18"/>
                <w:szCs w:val="18"/>
              </w:rPr>
              <w:t>£’000</w:t>
            </w:r>
          </w:p>
        </w:tc>
      </w:tr>
      <w:tr w:rsidR="00DD215A" w:rsidRPr="00551D5A" w14:paraId="7BB9B05A" w14:textId="77777777" w:rsidTr="00997EF7">
        <w:trPr>
          <w:trHeight w:val="276"/>
        </w:trPr>
        <w:tc>
          <w:tcPr>
            <w:tcW w:w="2692" w:type="pct"/>
            <w:tcBorders>
              <w:top w:val="single" w:sz="4" w:space="0" w:color="000000" w:themeColor="text1"/>
            </w:tcBorders>
            <w:shd w:val="clear" w:color="auto" w:fill="auto"/>
            <w:vAlign w:val="bottom"/>
          </w:tcPr>
          <w:p w14:paraId="4DDF367E" w14:textId="77777777" w:rsidR="00DD215A" w:rsidRPr="00846EEE" w:rsidRDefault="00DD215A" w:rsidP="00DD215A">
            <w:pPr>
              <w:suppressAutoHyphens/>
              <w:spacing w:after="0"/>
              <w:jc w:val="both"/>
              <w:rPr>
                <w:rFonts w:asciiTheme="minorHAnsi" w:hAnsiTheme="minorHAnsi" w:cstheme="minorHAnsi"/>
                <w:b/>
                <w:sz w:val="18"/>
                <w:szCs w:val="18"/>
              </w:rPr>
            </w:pPr>
            <w:r w:rsidRPr="00846EEE">
              <w:rPr>
                <w:rFonts w:asciiTheme="minorHAnsi" w:hAnsiTheme="minorHAnsi" w:cstheme="minorHAnsi"/>
                <w:bCs/>
                <w:sz w:val="18"/>
                <w:szCs w:val="18"/>
              </w:rPr>
              <w:t>Revenue</w:t>
            </w:r>
          </w:p>
        </w:tc>
        <w:tc>
          <w:tcPr>
            <w:tcW w:w="769" w:type="pct"/>
            <w:tcBorders>
              <w:top w:val="single" w:sz="4" w:space="0" w:color="000000" w:themeColor="text1"/>
            </w:tcBorders>
            <w:shd w:val="clear" w:color="auto" w:fill="auto"/>
            <w:vAlign w:val="bottom"/>
          </w:tcPr>
          <w:p w14:paraId="073A672E" w14:textId="414D262C" w:rsidR="00DD215A" w:rsidRPr="00997EF7" w:rsidRDefault="00DD215A" w:rsidP="00997EF7">
            <w:pPr>
              <w:autoSpaceDE w:val="0"/>
              <w:autoSpaceDN w:val="0"/>
              <w:adjustRightInd w:val="0"/>
              <w:spacing w:after="0"/>
              <w:ind w:right="57"/>
              <w:jc w:val="right"/>
              <w:rPr>
                <w:rFonts w:asciiTheme="minorHAnsi" w:hAnsiTheme="minorHAnsi" w:cstheme="minorHAnsi"/>
                <w:color w:val="000000"/>
                <w:sz w:val="18"/>
                <w:szCs w:val="18"/>
              </w:rPr>
            </w:pPr>
            <w:r w:rsidRPr="00997EF7">
              <w:rPr>
                <w:rFonts w:asciiTheme="minorHAnsi" w:hAnsiTheme="minorHAnsi" w:cstheme="minorHAnsi"/>
                <w:color w:val="000000"/>
                <w:sz w:val="18"/>
                <w:szCs w:val="18"/>
              </w:rPr>
              <w:t xml:space="preserve">   87,606 </w:t>
            </w:r>
          </w:p>
        </w:tc>
        <w:tc>
          <w:tcPr>
            <w:tcW w:w="769" w:type="pct"/>
            <w:tcBorders>
              <w:top w:val="single" w:sz="4" w:space="0" w:color="000000" w:themeColor="text1"/>
            </w:tcBorders>
            <w:vAlign w:val="bottom"/>
          </w:tcPr>
          <w:p w14:paraId="57662E29" w14:textId="1B12DD8F" w:rsidR="00DD215A" w:rsidRPr="00846EEE" w:rsidRDefault="00DD215A" w:rsidP="00997EF7">
            <w:pPr>
              <w:autoSpaceDE w:val="0"/>
              <w:autoSpaceDN w:val="0"/>
              <w:adjustRightInd w:val="0"/>
              <w:spacing w:after="0"/>
              <w:ind w:right="57"/>
              <w:jc w:val="right"/>
              <w:rPr>
                <w:rFonts w:asciiTheme="minorHAnsi" w:hAnsiTheme="minorHAnsi" w:cstheme="minorHAnsi"/>
                <w:sz w:val="18"/>
                <w:szCs w:val="18"/>
              </w:rPr>
            </w:pPr>
            <w:r w:rsidRPr="00846EEE">
              <w:rPr>
                <w:rFonts w:asciiTheme="minorHAnsi" w:hAnsiTheme="minorHAnsi" w:cstheme="minorHAnsi"/>
                <w:color w:val="000000"/>
                <w:sz w:val="18"/>
                <w:szCs w:val="18"/>
              </w:rPr>
              <w:t xml:space="preserve">   85,746 </w:t>
            </w:r>
          </w:p>
        </w:tc>
        <w:tc>
          <w:tcPr>
            <w:tcW w:w="769" w:type="pct"/>
            <w:tcBorders>
              <w:top w:val="single" w:sz="4" w:space="0" w:color="000000" w:themeColor="text1"/>
            </w:tcBorders>
            <w:shd w:val="clear" w:color="auto" w:fill="auto"/>
            <w:tcMar>
              <w:right w:w="58" w:type="dxa"/>
            </w:tcMar>
            <w:vAlign w:val="bottom"/>
          </w:tcPr>
          <w:p w14:paraId="6694F64C" w14:textId="1C588721" w:rsidR="00DD215A" w:rsidRPr="00846EEE" w:rsidRDefault="00DD215A" w:rsidP="00DD215A">
            <w:pPr>
              <w:autoSpaceDE w:val="0"/>
              <w:autoSpaceDN w:val="0"/>
              <w:adjustRightInd w:val="0"/>
              <w:spacing w:after="0"/>
              <w:jc w:val="right"/>
              <w:rPr>
                <w:rFonts w:asciiTheme="minorHAnsi" w:hAnsiTheme="minorHAnsi" w:cstheme="minorHAnsi"/>
                <w:b/>
                <w:sz w:val="18"/>
                <w:szCs w:val="18"/>
              </w:rPr>
            </w:pPr>
            <w:r w:rsidRPr="00846EEE">
              <w:rPr>
                <w:rFonts w:asciiTheme="minorHAnsi" w:hAnsiTheme="minorHAnsi" w:cstheme="minorHAnsi"/>
                <w:color w:val="000000"/>
                <w:sz w:val="18"/>
                <w:szCs w:val="18"/>
              </w:rPr>
              <w:t xml:space="preserve">   154,191 </w:t>
            </w:r>
          </w:p>
        </w:tc>
      </w:tr>
      <w:tr w:rsidR="00DD215A" w:rsidRPr="00551D5A" w14:paraId="67D89E6C" w14:textId="77777777" w:rsidTr="00997EF7">
        <w:trPr>
          <w:trHeight w:val="276"/>
        </w:trPr>
        <w:tc>
          <w:tcPr>
            <w:tcW w:w="2692" w:type="pct"/>
            <w:tcBorders>
              <w:bottom w:val="single" w:sz="4" w:space="0" w:color="000000" w:themeColor="text1"/>
            </w:tcBorders>
            <w:shd w:val="clear" w:color="auto" w:fill="auto"/>
            <w:vAlign w:val="bottom"/>
          </w:tcPr>
          <w:p w14:paraId="1DAF585F" w14:textId="77777777" w:rsidR="00DD215A" w:rsidRPr="00846EEE" w:rsidRDefault="00DD215A" w:rsidP="00DD215A">
            <w:pPr>
              <w:suppressAutoHyphens/>
              <w:spacing w:after="0"/>
              <w:jc w:val="both"/>
              <w:rPr>
                <w:rFonts w:asciiTheme="minorHAnsi" w:hAnsiTheme="minorHAnsi" w:cstheme="minorHAnsi"/>
                <w:b/>
                <w:sz w:val="18"/>
                <w:szCs w:val="18"/>
              </w:rPr>
            </w:pPr>
            <w:r w:rsidRPr="00846EEE">
              <w:rPr>
                <w:rFonts w:asciiTheme="minorHAnsi" w:hAnsiTheme="minorHAnsi" w:cstheme="minorHAnsi"/>
                <w:sz w:val="18"/>
                <w:szCs w:val="18"/>
              </w:rPr>
              <w:t>Cost of sales</w:t>
            </w:r>
          </w:p>
        </w:tc>
        <w:tc>
          <w:tcPr>
            <w:tcW w:w="769" w:type="pct"/>
            <w:tcBorders>
              <w:bottom w:val="single" w:sz="4" w:space="0" w:color="000000" w:themeColor="text1"/>
            </w:tcBorders>
            <w:shd w:val="clear" w:color="auto" w:fill="auto"/>
            <w:vAlign w:val="bottom"/>
          </w:tcPr>
          <w:p w14:paraId="6ADDE8BC" w14:textId="0E9666B4" w:rsidR="00DD215A" w:rsidRPr="00997EF7" w:rsidRDefault="00DD215A" w:rsidP="00997EF7">
            <w:pPr>
              <w:autoSpaceDE w:val="0"/>
              <w:autoSpaceDN w:val="0"/>
              <w:adjustRightInd w:val="0"/>
              <w:spacing w:after="0"/>
              <w:ind w:right="57"/>
              <w:jc w:val="right"/>
              <w:rPr>
                <w:rFonts w:asciiTheme="minorHAnsi" w:hAnsiTheme="minorHAnsi" w:cstheme="minorHAnsi"/>
                <w:color w:val="000000"/>
                <w:sz w:val="18"/>
                <w:szCs w:val="18"/>
              </w:rPr>
            </w:pPr>
            <w:r w:rsidRPr="00997EF7">
              <w:rPr>
                <w:rFonts w:asciiTheme="minorHAnsi" w:hAnsiTheme="minorHAnsi" w:cstheme="minorHAnsi"/>
                <w:color w:val="000000"/>
                <w:sz w:val="18"/>
                <w:szCs w:val="18"/>
              </w:rPr>
              <w:t xml:space="preserve">  (65,</w:t>
            </w:r>
            <w:r w:rsidR="00E37CE5" w:rsidRPr="00997EF7">
              <w:rPr>
                <w:rFonts w:asciiTheme="minorHAnsi" w:hAnsiTheme="minorHAnsi" w:cstheme="minorHAnsi"/>
                <w:color w:val="000000"/>
                <w:sz w:val="18"/>
                <w:szCs w:val="18"/>
              </w:rPr>
              <w:t>976</w:t>
            </w:r>
            <w:r w:rsidRPr="00997EF7">
              <w:rPr>
                <w:rFonts w:asciiTheme="minorHAnsi" w:hAnsiTheme="minorHAnsi" w:cstheme="minorHAnsi"/>
                <w:color w:val="000000"/>
                <w:sz w:val="18"/>
                <w:szCs w:val="18"/>
              </w:rPr>
              <w:t>)</w:t>
            </w:r>
          </w:p>
        </w:tc>
        <w:tc>
          <w:tcPr>
            <w:tcW w:w="769" w:type="pct"/>
            <w:tcBorders>
              <w:bottom w:val="single" w:sz="4" w:space="0" w:color="000000" w:themeColor="text1"/>
            </w:tcBorders>
            <w:vAlign w:val="bottom"/>
          </w:tcPr>
          <w:p w14:paraId="2734FC77" w14:textId="64738737" w:rsidR="00DD215A" w:rsidRPr="00846EEE" w:rsidRDefault="00DD215A" w:rsidP="00997EF7">
            <w:pPr>
              <w:autoSpaceDE w:val="0"/>
              <w:autoSpaceDN w:val="0"/>
              <w:adjustRightInd w:val="0"/>
              <w:spacing w:after="0"/>
              <w:ind w:right="57"/>
              <w:jc w:val="right"/>
              <w:rPr>
                <w:rFonts w:asciiTheme="minorHAnsi" w:hAnsiTheme="minorHAnsi" w:cstheme="minorHAnsi"/>
                <w:sz w:val="18"/>
                <w:szCs w:val="18"/>
              </w:rPr>
            </w:pPr>
            <w:r w:rsidRPr="00846EEE">
              <w:rPr>
                <w:rFonts w:asciiTheme="minorHAnsi" w:hAnsiTheme="minorHAnsi" w:cstheme="minorHAnsi"/>
                <w:color w:val="000000"/>
                <w:sz w:val="18"/>
                <w:szCs w:val="18"/>
              </w:rPr>
              <w:t xml:space="preserve">  (64,845)</w:t>
            </w:r>
          </w:p>
        </w:tc>
        <w:tc>
          <w:tcPr>
            <w:tcW w:w="769" w:type="pct"/>
            <w:tcBorders>
              <w:bottom w:val="single" w:sz="4" w:space="0" w:color="000000" w:themeColor="text1"/>
            </w:tcBorders>
            <w:shd w:val="clear" w:color="auto" w:fill="auto"/>
            <w:tcMar>
              <w:right w:w="58" w:type="dxa"/>
            </w:tcMar>
            <w:vAlign w:val="bottom"/>
          </w:tcPr>
          <w:p w14:paraId="5E36654A" w14:textId="760CDF0B" w:rsidR="00DD215A" w:rsidRPr="00846EEE" w:rsidRDefault="00DD215A" w:rsidP="00DD215A">
            <w:pPr>
              <w:autoSpaceDE w:val="0"/>
              <w:autoSpaceDN w:val="0"/>
              <w:adjustRightInd w:val="0"/>
              <w:spacing w:after="0"/>
              <w:jc w:val="right"/>
              <w:rPr>
                <w:rFonts w:asciiTheme="minorHAnsi" w:hAnsiTheme="minorHAnsi" w:cstheme="minorHAnsi"/>
                <w:b/>
                <w:sz w:val="18"/>
                <w:szCs w:val="18"/>
              </w:rPr>
            </w:pPr>
            <w:r w:rsidRPr="00846EEE">
              <w:rPr>
                <w:rFonts w:asciiTheme="minorHAnsi" w:hAnsiTheme="minorHAnsi" w:cstheme="minorHAnsi"/>
                <w:color w:val="000000"/>
                <w:sz w:val="18"/>
                <w:szCs w:val="18"/>
              </w:rPr>
              <w:t xml:space="preserve">  (115,837)</w:t>
            </w:r>
          </w:p>
        </w:tc>
      </w:tr>
      <w:tr w:rsidR="00DD215A" w:rsidRPr="00551D5A" w14:paraId="593FA15E" w14:textId="77777777" w:rsidTr="00997EF7">
        <w:trPr>
          <w:trHeight w:val="267"/>
        </w:trPr>
        <w:tc>
          <w:tcPr>
            <w:tcW w:w="2692" w:type="pct"/>
            <w:tcBorders>
              <w:top w:val="single" w:sz="4" w:space="0" w:color="000000" w:themeColor="text1"/>
            </w:tcBorders>
            <w:shd w:val="clear" w:color="auto" w:fill="auto"/>
            <w:vAlign w:val="bottom"/>
          </w:tcPr>
          <w:p w14:paraId="7C428D91" w14:textId="77777777" w:rsidR="00DD215A" w:rsidRPr="00846EEE" w:rsidRDefault="00DD215A" w:rsidP="00DD215A">
            <w:pPr>
              <w:suppressAutoHyphens/>
              <w:spacing w:after="0"/>
              <w:jc w:val="both"/>
              <w:rPr>
                <w:rFonts w:asciiTheme="minorHAnsi" w:hAnsiTheme="minorHAnsi" w:cstheme="minorHAnsi"/>
                <w:b/>
                <w:sz w:val="18"/>
                <w:szCs w:val="18"/>
              </w:rPr>
            </w:pPr>
            <w:r w:rsidRPr="00846EEE">
              <w:rPr>
                <w:rFonts w:asciiTheme="minorHAnsi" w:hAnsiTheme="minorHAnsi" w:cstheme="minorHAnsi"/>
                <w:bCs/>
                <w:sz w:val="18"/>
                <w:szCs w:val="18"/>
              </w:rPr>
              <w:t>Gross profit</w:t>
            </w:r>
          </w:p>
        </w:tc>
        <w:tc>
          <w:tcPr>
            <w:tcW w:w="769" w:type="pct"/>
            <w:tcBorders>
              <w:top w:val="single" w:sz="4" w:space="0" w:color="000000" w:themeColor="text1"/>
              <w:bottom w:val="single" w:sz="4" w:space="0" w:color="auto"/>
            </w:tcBorders>
            <w:shd w:val="clear" w:color="auto" w:fill="auto"/>
            <w:vAlign w:val="bottom"/>
          </w:tcPr>
          <w:p w14:paraId="203DE8F1" w14:textId="3AEED312" w:rsidR="00DD215A" w:rsidRPr="00997EF7" w:rsidRDefault="00DD215A" w:rsidP="00997EF7">
            <w:pPr>
              <w:autoSpaceDE w:val="0"/>
              <w:autoSpaceDN w:val="0"/>
              <w:adjustRightInd w:val="0"/>
              <w:spacing w:after="0"/>
              <w:ind w:right="57"/>
              <w:jc w:val="right"/>
              <w:rPr>
                <w:rFonts w:asciiTheme="minorHAnsi" w:hAnsiTheme="minorHAnsi" w:cstheme="minorHAnsi"/>
                <w:color w:val="000000"/>
                <w:sz w:val="18"/>
                <w:szCs w:val="18"/>
              </w:rPr>
            </w:pPr>
            <w:r w:rsidRPr="00997EF7">
              <w:rPr>
                <w:rFonts w:asciiTheme="minorHAnsi" w:hAnsiTheme="minorHAnsi" w:cstheme="minorHAnsi"/>
                <w:color w:val="000000"/>
                <w:sz w:val="18"/>
                <w:szCs w:val="18"/>
              </w:rPr>
              <w:t xml:space="preserve">   2</w:t>
            </w:r>
            <w:r w:rsidR="00E37CE5" w:rsidRPr="00997EF7">
              <w:rPr>
                <w:rFonts w:asciiTheme="minorHAnsi" w:hAnsiTheme="minorHAnsi" w:cstheme="minorHAnsi"/>
                <w:color w:val="000000"/>
                <w:sz w:val="18"/>
                <w:szCs w:val="18"/>
              </w:rPr>
              <w:t>1,630</w:t>
            </w:r>
            <w:r w:rsidRPr="00997EF7">
              <w:rPr>
                <w:rFonts w:asciiTheme="minorHAnsi" w:hAnsiTheme="minorHAnsi" w:cstheme="minorHAnsi"/>
                <w:color w:val="000000"/>
                <w:sz w:val="18"/>
                <w:szCs w:val="18"/>
              </w:rPr>
              <w:t xml:space="preserve"> </w:t>
            </w:r>
          </w:p>
        </w:tc>
        <w:tc>
          <w:tcPr>
            <w:tcW w:w="769" w:type="pct"/>
            <w:tcBorders>
              <w:top w:val="single" w:sz="4" w:space="0" w:color="000000" w:themeColor="text1"/>
              <w:bottom w:val="single" w:sz="4" w:space="0" w:color="auto"/>
            </w:tcBorders>
            <w:vAlign w:val="bottom"/>
          </w:tcPr>
          <w:p w14:paraId="6CE37E12" w14:textId="6D89C1C0" w:rsidR="00DD215A" w:rsidRPr="00846EEE" w:rsidRDefault="00DD215A" w:rsidP="00997EF7">
            <w:pPr>
              <w:autoSpaceDE w:val="0"/>
              <w:autoSpaceDN w:val="0"/>
              <w:adjustRightInd w:val="0"/>
              <w:spacing w:after="0"/>
              <w:ind w:right="57"/>
              <w:jc w:val="right"/>
              <w:rPr>
                <w:rFonts w:asciiTheme="minorHAnsi" w:hAnsiTheme="minorHAnsi" w:cstheme="minorHAnsi"/>
                <w:sz w:val="18"/>
                <w:szCs w:val="18"/>
              </w:rPr>
            </w:pPr>
            <w:r w:rsidRPr="00846EEE">
              <w:rPr>
                <w:rFonts w:asciiTheme="minorHAnsi" w:hAnsiTheme="minorHAnsi" w:cstheme="minorHAnsi"/>
                <w:color w:val="000000"/>
                <w:sz w:val="18"/>
                <w:szCs w:val="18"/>
              </w:rPr>
              <w:t xml:space="preserve">   20,901 </w:t>
            </w:r>
          </w:p>
        </w:tc>
        <w:tc>
          <w:tcPr>
            <w:tcW w:w="769" w:type="pct"/>
            <w:tcBorders>
              <w:top w:val="single" w:sz="4" w:space="0" w:color="000000" w:themeColor="text1"/>
              <w:bottom w:val="single" w:sz="4" w:space="0" w:color="auto"/>
            </w:tcBorders>
            <w:shd w:val="clear" w:color="auto" w:fill="auto"/>
            <w:tcMar>
              <w:right w:w="58" w:type="dxa"/>
            </w:tcMar>
            <w:vAlign w:val="bottom"/>
          </w:tcPr>
          <w:p w14:paraId="021E235F" w14:textId="60895914" w:rsidR="00DD215A" w:rsidRPr="00846EEE" w:rsidRDefault="00DD215A" w:rsidP="00DD215A">
            <w:pPr>
              <w:autoSpaceDE w:val="0"/>
              <w:autoSpaceDN w:val="0"/>
              <w:adjustRightInd w:val="0"/>
              <w:spacing w:after="0"/>
              <w:jc w:val="right"/>
              <w:rPr>
                <w:rFonts w:asciiTheme="minorHAnsi" w:hAnsiTheme="minorHAnsi" w:cstheme="minorHAnsi"/>
                <w:b/>
                <w:sz w:val="18"/>
                <w:szCs w:val="18"/>
              </w:rPr>
            </w:pPr>
            <w:r w:rsidRPr="00846EEE">
              <w:rPr>
                <w:rFonts w:asciiTheme="minorHAnsi" w:hAnsiTheme="minorHAnsi" w:cstheme="minorHAnsi"/>
                <w:color w:val="000000"/>
                <w:sz w:val="18"/>
                <w:szCs w:val="18"/>
              </w:rPr>
              <w:t xml:space="preserve">     38,354 </w:t>
            </w:r>
          </w:p>
        </w:tc>
      </w:tr>
      <w:tr w:rsidR="00DD215A" w:rsidRPr="00551D5A" w14:paraId="25B65763" w14:textId="77777777" w:rsidTr="00997EF7">
        <w:trPr>
          <w:trHeight w:val="478"/>
        </w:trPr>
        <w:tc>
          <w:tcPr>
            <w:tcW w:w="2692" w:type="pct"/>
            <w:shd w:val="clear" w:color="auto" w:fill="auto"/>
            <w:vAlign w:val="bottom"/>
          </w:tcPr>
          <w:p w14:paraId="791E7348" w14:textId="7C8F1252" w:rsidR="00DD215A" w:rsidRPr="00846EEE" w:rsidRDefault="00DD215A" w:rsidP="00DD215A">
            <w:pPr>
              <w:suppressAutoHyphens/>
              <w:spacing w:after="0"/>
              <w:rPr>
                <w:rFonts w:asciiTheme="minorHAnsi" w:hAnsiTheme="minorHAnsi" w:cstheme="minorHAnsi"/>
                <w:b/>
                <w:sz w:val="18"/>
                <w:szCs w:val="18"/>
              </w:rPr>
            </w:pPr>
            <w:r w:rsidRPr="00846EEE">
              <w:rPr>
                <w:rFonts w:asciiTheme="minorHAnsi" w:hAnsiTheme="minorHAnsi" w:cstheme="minorHAnsi"/>
                <w:sz w:val="18"/>
                <w:szCs w:val="18"/>
              </w:rPr>
              <w:t>Adjusted earnings before interest, tax, depreciation, amortisation, share-based payments &amp; non</w:t>
            </w:r>
            <w:r w:rsidRPr="00551D5A">
              <w:rPr>
                <w:rFonts w:ascii="Cambria Math" w:eastAsia="MS PGothic" w:hAnsi="Cambria Math" w:cs="Cambria Math"/>
                <w:sz w:val="18"/>
                <w:szCs w:val="18"/>
              </w:rPr>
              <w:t>‑</w:t>
            </w:r>
            <w:r w:rsidRPr="00846EEE">
              <w:rPr>
                <w:rFonts w:asciiTheme="minorHAnsi" w:hAnsiTheme="minorHAnsi" w:cstheme="minorHAnsi"/>
                <w:sz w:val="18"/>
                <w:szCs w:val="18"/>
              </w:rPr>
              <w:t xml:space="preserve">recurring items </w:t>
            </w:r>
          </w:p>
        </w:tc>
        <w:tc>
          <w:tcPr>
            <w:tcW w:w="769" w:type="pct"/>
            <w:tcBorders>
              <w:top w:val="single" w:sz="4" w:space="0" w:color="auto"/>
              <w:left w:val="single" w:sz="4" w:space="0" w:color="auto"/>
            </w:tcBorders>
            <w:shd w:val="clear" w:color="auto" w:fill="auto"/>
            <w:vAlign w:val="bottom"/>
          </w:tcPr>
          <w:p w14:paraId="597F1FB4" w14:textId="3FB4C5DD" w:rsidR="00DD215A" w:rsidRPr="00997EF7" w:rsidRDefault="00DD215A" w:rsidP="00997EF7">
            <w:pPr>
              <w:autoSpaceDE w:val="0"/>
              <w:autoSpaceDN w:val="0"/>
              <w:adjustRightInd w:val="0"/>
              <w:spacing w:after="0"/>
              <w:ind w:right="57"/>
              <w:jc w:val="right"/>
              <w:rPr>
                <w:rFonts w:asciiTheme="minorHAnsi" w:hAnsiTheme="minorHAnsi" w:cstheme="minorHAnsi"/>
                <w:color w:val="000000"/>
                <w:sz w:val="18"/>
                <w:szCs w:val="18"/>
              </w:rPr>
            </w:pPr>
            <w:r w:rsidRPr="00997EF7">
              <w:rPr>
                <w:rFonts w:asciiTheme="minorHAnsi" w:hAnsiTheme="minorHAnsi" w:cstheme="minorHAnsi"/>
                <w:color w:val="000000"/>
                <w:sz w:val="18"/>
                <w:szCs w:val="18"/>
              </w:rPr>
              <w:t xml:space="preserve">   </w:t>
            </w:r>
            <w:r w:rsidR="004B0360">
              <w:rPr>
                <w:rFonts w:asciiTheme="minorHAnsi" w:hAnsiTheme="minorHAnsi" w:cstheme="minorHAnsi"/>
                <w:color w:val="000000"/>
                <w:sz w:val="18"/>
                <w:szCs w:val="18"/>
              </w:rPr>
              <w:t>11,233</w:t>
            </w:r>
            <w:r w:rsidRPr="00997EF7">
              <w:rPr>
                <w:rFonts w:asciiTheme="minorHAnsi" w:hAnsiTheme="minorHAnsi" w:cstheme="minorHAnsi"/>
                <w:color w:val="000000"/>
                <w:sz w:val="18"/>
                <w:szCs w:val="18"/>
              </w:rPr>
              <w:t xml:space="preserve"> </w:t>
            </w:r>
          </w:p>
        </w:tc>
        <w:tc>
          <w:tcPr>
            <w:tcW w:w="769" w:type="pct"/>
            <w:tcBorders>
              <w:top w:val="single" w:sz="4" w:space="0" w:color="auto"/>
            </w:tcBorders>
            <w:vAlign w:val="bottom"/>
          </w:tcPr>
          <w:p w14:paraId="38FE21FF" w14:textId="267FC98F" w:rsidR="00DD215A" w:rsidRPr="00846EEE" w:rsidRDefault="00DD215A" w:rsidP="00997EF7">
            <w:pPr>
              <w:autoSpaceDE w:val="0"/>
              <w:autoSpaceDN w:val="0"/>
              <w:adjustRightInd w:val="0"/>
              <w:spacing w:after="0"/>
              <w:ind w:right="57"/>
              <w:jc w:val="right"/>
              <w:rPr>
                <w:rFonts w:asciiTheme="minorHAnsi" w:hAnsiTheme="minorHAnsi" w:cstheme="minorHAnsi"/>
                <w:sz w:val="18"/>
                <w:szCs w:val="18"/>
              </w:rPr>
            </w:pPr>
            <w:r w:rsidRPr="00846EEE">
              <w:rPr>
                <w:rFonts w:asciiTheme="minorHAnsi" w:hAnsiTheme="minorHAnsi" w:cstheme="minorHAnsi"/>
                <w:color w:val="000000"/>
                <w:sz w:val="18"/>
                <w:szCs w:val="18"/>
              </w:rPr>
              <w:t xml:space="preserve">   11,232 </w:t>
            </w:r>
          </w:p>
        </w:tc>
        <w:tc>
          <w:tcPr>
            <w:tcW w:w="769" w:type="pct"/>
            <w:tcBorders>
              <w:top w:val="single" w:sz="4" w:space="0" w:color="auto"/>
              <w:right w:val="single" w:sz="4" w:space="0" w:color="auto"/>
            </w:tcBorders>
            <w:shd w:val="clear" w:color="auto" w:fill="auto"/>
            <w:tcMar>
              <w:right w:w="58" w:type="dxa"/>
            </w:tcMar>
            <w:vAlign w:val="bottom"/>
          </w:tcPr>
          <w:p w14:paraId="7CF031E0" w14:textId="1275FA81" w:rsidR="00DD215A" w:rsidRPr="00846EEE" w:rsidRDefault="00DD215A" w:rsidP="00DD215A">
            <w:pPr>
              <w:suppressAutoHyphens/>
              <w:spacing w:after="0"/>
              <w:jc w:val="right"/>
              <w:rPr>
                <w:rFonts w:asciiTheme="minorHAnsi" w:hAnsiTheme="minorHAnsi" w:cstheme="minorHAnsi"/>
                <w:b/>
                <w:sz w:val="18"/>
                <w:szCs w:val="18"/>
              </w:rPr>
            </w:pPr>
            <w:r w:rsidRPr="00846EEE">
              <w:rPr>
                <w:rFonts w:asciiTheme="minorHAnsi" w:hAnsiTheme="minorHAnsi" w:cstheme="minorHAnsi"/>
                <w:color w:val="000000"/>
                <w:sz w:val="18"/>
                <w:szCs w:val="18"/>
              </w:rPr>
              <w:t xml:space="preserve">     18,750 </w:t>
            </w:r>
          </w:p>
        </w:tc>
      </w:tr>
      <w:tr w:rsidR="00DD215A" w:rsidRPr="00551D5A" w14:paraId="4DC09E4E" w14:textId="77777777" w:rsidTr="00997EF7">
        <w:trPr>
          <w:trHeight w:val="276"/>
        </w:trPr>
        <w:tc>
          <w:tcPr>
            <w:tcW w:w="2692" w:type="pct"/>
            <w:shd w:val="clear" w:color="auto" w:fill="auto"/>
            <w:vAlign w:val="bottom"/>
          </w:tcPr>
          <w:p w14:paraId="5F4331ED" w14:textId="77777777" w:rsidR="00DD215A" w:rsidRPr="00846EEE" w:rsidRDefault="00DD215A" w:rsidP="00DD215A">
            <w:pPr>
              <w:suppressAutoHyphens/>
              <w:spacing w:after="0"/>
              <w:jc w:val="both"/>
              <w:rPr>
                <w:rFonts w:asciiTheme="minorHAnsi" w:hAnsiTheme="minorHAnsi" w:cstheme="minorHAnsi"/>
                <w:b/>
                <w:sz w:val="18"/>
                <w:szCs w:val="18"/>
              </w:rPr>
            </w:pPr>
            <w:r w:rsidRPr="00846EEE">
              <w:rPr>
                <w:rFonts w:asciiTheme="minorHAnsi" w:hAnsiTheme="minorHAnsi" w:cstheme="minorHAnsi"/>
                <w:sz w:val="18"/>
                <w:szCs w:val="18"/>
              </w:rPr>
              <w:t>Depreciation</w:t>
            </w:r>
          </w:p>
        </w:tc>
        <w:tc>
          <w:tcPr>
            <w:tcW w:w="769" w:type="pct"/>
            <w:tcBorders>
              <w:left w:val="single" w:sz="4" w:space="0" w:color="auto"/>
            </w:tcBorders>
            <w:shd w:val="clear" w:color="auto" w:fill="auto"/>
            <w:vAlign w:val="bottom"/>
          </w:tcPr>
          <w:p w14:paraId="2FDF3D72" w14:textId="1ED52635" w:rsidR="00DD215A" w:rsidRPr="00997EF7" w:rsidRDefault="00DD215A" w:rsidP="00997EF7">
            <w:pPr>
              <w:autoSpaceDE w:val="0"/>
              <w:autoSpaceDN w:val="0"/>
              <w:adjustRightInd w:val="0"/>
              <w:spacing w:after="0"/>
              <w:ind w:right="57"/>
              <w:jc w:val="right"/>
              <w:rPr>
                <w:rFonts w:asciiTheme="minorHAnsi" w:hAnsiTheme="minorHAnsi" w:cstheme="minorHAnsi"/>
                <w:color w:val="000000"/>
                <w:sz w:val="18"/>
                <w:szCs w:val="18"/>
              </w:rPr>
            </w:pPr>
            <w:r w:rsidRPr="00997EF7">
              <w:rPr>
                <w:rFonts w:asciiTheme="minorHAnsi" w:hAnsiTheme="minorHAnsi" w:cstheme="minorHAnsi"/>
                <w:color w:val="000000"/>
                <w:sz w:val="18"/>
                <w:szCs w:val="18"/>
              </w:rPr>
              <w:t xml:space="preserve">    (1,125)</w:t>
            </w:r>
          </w:p>
        </w:tc>
        <w:tc>
          <w:tcPr>
            <w:tcW w:w="769" w:type="pct"/>
            <w:vAlign w:val="bottom"/>
          </w:tcPr>
          <w:p w14:paraId="0B39324B" w14:textId="7F11AD8B" w:rsidR="00DD215A" w:rsidRPr="00846EEE" w:rsidRDefault="00DD215A" w:rsidP="00997EF7">
            <w:pPr>
              <w:autoSpaceDE w:val="0"/>
              <w:autoSpaceDN w:val="0"/>
              <w:adjustRightInd w:val="0"/>
              <w:spacing w:after="0"/>
              <w:ind w:right="57"/>
              <w:jc w:val="right"/>
              <w:rPr>
                <w:rFonts w:asciiTheme="minorHAnsi" w:hAnsiTheme="minorHAnsi" w:cstheme="minorHAnsi"/>
                <w:sz w:val="18"/>
                <w:szCs w:val="18"/>
              </w:rPr>
            </w:pPr>
            <w:r w:rsidRPr="00846EEE">
              <w:rPr>
                <w:rFonts w:asciiTheme="minorHAnsi" w:hAnsiTheme="minorHAnsi" w:cstheme="minorHAnsi"/>
                <w:color w:val="000000"/>
                <w:sz w:val="18"/>
                <w:szCs w:val="18"/>
              </w:rPr>
              <w:t xml:space="preserve">       (946)</w:t>
            </w:r>
          </w:p>
        </w:tc>
        <w:tc>
          <w:tcPr>
            <w:tcW w:w="769" w:type="pct"/>
            <w:tcBorders>
              <w:right w:val="single" w:sz="4" w:space="0" w:color="auto"/>
            </w:tcBorders>
            <w:shd w:val="clear" w:color="auto" w:fill="auto"/>
            <w:tcMar>
              <w:right w:w="58" w:type="dxa"/>
            </w:tcMar>
            <w:vAlign w:val="bottom"/>
          </w:tcPr>
          <w:p w14:paraId="22450AEB" w14:textId="622FCA6E" w:rsidR="00DD215A" w:rsidRPr="00846EEE" w:rsidRDefault="00DD215A" w:rsidP="00DD215A">
            <w:pPr>
              <w:autoSpaceDE w:val="0"/>
              <w:autoSpaceDN w:val="0"/>
              <w:adjustRightInd w:val="0"/>
              <w:spacing w:after="0"/>
              <w:jc w:val="right"/>
              <w:rPr>
                <w:rFonts w:asciiTheme="minorHAnsi" w:hAnsiTheme="minorHAnsi" w:cstheme="minorHAnsi"/>
                <w:b/>
                <w:sz w:val="18"/>
                <w:szCs w:val="18"/>
              </w:rPr>
            </w:pPr>
            <w:r w:rsidRPr="00846EEE">
              <w:rPr>
                <w:rFonts w:asciiTheme="minorHAnsi" w:hAnsiTheme="minorHAnsi" w:cstheme="minorHAnsi"/>
                <w:color w:val="000000"/>
                <w:sz w:val="18"/>
                <w:szCs w:val="18"/>
              </w:rPr>
              <w:t xml:space="preserve">      (2,044)</w:t>
            </w:r>
          </w:p>
        </w:tc>
      </w:tr>
      <w:tr w:rsidR="00DD215A" w:rsidRPr="00551D5A" w14:paraId="7B3C5F92" w14:textId="77777777" w:rsidTr="00997EF7">
        <w:trPr>
          <w:trHeight w:val="276"/>
        </w:trPr>
        <w:tc>
          <w:tcPr>
            <w:tcW w:w="2692" w:type="pct"/>
            <w:shd w:val="clear" w:color="auto" w:fill="auto"/>
            <w:vAlign w:val="bottom"/>
          </w:tcPr>
          <w:p w14:paraId="7185F45E" w14:textId="77777777" w:rsidR="00DD215A" w:rsidRPr="00846EEE" w:rsidRDefault="00DD215A" w:rsidP="00DD215A">
            <w:pPr>
              <w:suppressAutoHyphens/>
              <w:spacing w:after="0"/>
              <w:jc w:val="both"/>
              <w:rPr>
                <w:rFonts w:asciiTheme="minorHAnsi" w:hAnsiTheme="minorHAnsi" w:cstheme="minorHAnsi"/>
                <w:b/>
                <w:sz w:val="18"/>
                <w:szCs w:val="18"/>
              </w:rPr>
            </w:pPr>
            <w:r w:rsidRPr="00846EEE">
              <w:rPr>
                <w:rFonts w:asciiTheme="minorHAnsi" w:hAnsiTheme="minorHAnsi" w:cstheme="minorHAnsi"/>
                <w:sz w:val="18"/>
                <w:szCs w:val="18"/>
              </w:rPr>
              <w:t>Amortisation of intangibles</w:t>
            </w:r>
          </w:p>
        </w:tc>
        <w:tc>
          <w:tcPr>
            <w:tcW w:w="769" w:type="pct"/>
            <w:tcBorders>
              <w:left w:val="single" w:sz="4" w:space="0" w:color="auto"/>
            </w:tcBorders>
            <w:shd w:val="clear" w:color="auto" w:fill="auto"/>
            <w:vAlign w:val="bottom"/>
          </w:tcPr>
          <w:p w14:paraId="3AFCB8C7" w14:textId="72278888" w:rsidR="00DD215A" w:rsidRPr="00997EF7" w:rsidRDefault="00DD215A" w:rsidP="00997EF7">
            <w:pPr>
              <w:autoSpaceDE w:val="0"/>
              <w:autoSpaceDN w:val="0"/>
              <w:adjustRightInd w:val="0"/>
              <w:spacing w:after="0"/>
              <w:ind w:right="57"/>
              <w:jc w:val="right"/>
              <w:rPr>
                <w:rFonts w:asciiTheme="minorHAnsi" w:hAnsiTheme="minorHAnsi" w:cstheme="minorHAnsi"/>
                <w:color w:val="000000"/>
                <w:sz w:val="18"/>
                <w:szCs w:val="18"/>
              </w:rPr>
            </w:pPr>
            <w:r w:rsidRPr="00997EF7">
              <w:rPr>
                <w:rFonts w:asciiTheme="minorHAnsi" w:hAnsiTheme="minorHAnsi" w:cstheme="minorHAnsi"/>
                <w:color w:val="000000"/>
                <w:sz w:val="18"/>
                <w:szCs w:val="18"/>
              </w:rPr>
              <w:t xml:space="preserve">         (11)</w:t>
            </w:r>
          </w:p>
        </w:tc>
        <w:tc>
          <w:tcPr>
            <w:tcW w:w="769" w:type="pct"/>
            <w:vAlign w:val="bottom"/>
          </w:tcPr>
          <w:p w14:paraId="5835FDEA" w14:textId="225A28C8" w:rsidR="00DD215A" w:rsidRPr="00846EEE" w:rsidRDefault="00DD215A" w:rsidP="00997EF7">
            <w:pPr>
              <w:autoSpaceDE w:val="0"/>
              <w:autoSpaceDN w:val="0"/>
              <w:adjustRightInd w:val="0"/>
              <w:spacing w:after="0"/>
              <w:ind w:right="57"/>
              <w:jc w:val="right"/>
              <w:rPr>
                <w:rFonts w:asciiTheme="minorHAnsi" w:hAnsiTheme="minorHAnsi" w:cstheme="minorHAnsi"/>
                <w:sz w:val="18"/>
                <w:szCs w:val="18"/>
              </w:rPr>
            </w:pPr>
            <w:r w:rsidRPr="00846EEE">
              <w:rPr>
                <w:rFonts w:asciiTheme="minorHAnsi" w:hAnsiTheme="minorHAnsi" w:cstheme="minorHAnsi"/>
                <w:color w:val="000000"/>
                <w:sz w:val="18"/>
                <w:szCs w:val="18"/>
              </w:rPr>
              <w:t xml:space="preserve">         (11)</w:t>
            </w:r>
          </w:p>
        </w:tc>
        <w:tc>
          <w:tcPr>
            <w:tcW w:w="769" w:type="pct"/>
            <w:tcBorders>
              <w:right w:val="single" w:sz="4" w:space="0" w:color="auto"/>
            </w:tcBorders>
            <w:shd w:val="clear" w:color="auto" w:fill="auto"/>
            <w:tcMar>
              <w:right w:w="58" w:type="dxa"/>
            </w:tcMar>
            <w:vAlign w:val="bottom"/>
          </w:tcPr>
          <w:p w14:paraId="0C49833D" w14:textId="320F4FA2" w:rsidR="00DD215A" w:rsidRPr="00846EEE" w:rsidRDefault="00DD215A" w:rsidP="00DD215A">
            <w:pPr>
              <w:autoSpaceDE w:val="0"/>
              <w:autoSpaceDN w:val="0"/>
              <w:adjustRightInd w:val="0"/>
              <w:spacing w:after="0"/>
              <w:jc w:val="right"/>
              <w:rPr>
                <w:rFonts w:asciiTheme="minorHAnsi" w:hAnsiTheme="minorHAnsi" w:cstheme="minorHAnsi"/>
                <w:b/>
                <w:sz w:val="18"/>
                <w:szCs w:val="18"/>
              </w:rPr>
            </w:pPr>
            <w:r w:rsidRPr="00846EEE">
              <w:rPr>
                <w:rFonts w:asciiTheme="minorHAnsi" w:hAnsiTheme="minorHAnsi" w:cstheme="minorHAnsi"/>
                <w:color w:val="000000"/>
                <w:sz w:val="18"/>
                <w:szCs w:val="18"/>
              </w:rPr>
              <w:t xml:space="preserve">           (22)</w:t>
            </w:r>
          </w:p>
        </w:tc>
      </w:tr>
      <w:tr w:rsidR="00DD215A" w:rsidRPr="00551D5A" w14:paraId="350B877F" w14:textId="77777777" w:rsidTr="00997EF7">
        <w:trPr>
          <w:trHeight w:val="276"/>
        </w:trPr>
        <w:tc>
          <w:tcPr>
            <w:tcW w:w="2692" w:type="pct"/>
            <w:shd w:val="clear" w:color="auto" w:fill="auto"/>
            <w:vAlign w:val="bottom"/>
          </w:tcPr>
          <w:p w14:paraId="562B6EE1" w14:textId="77777777" w:rsidR="00DD215A" w:rsidRPr="00846EEE" w:rsidRDefault="00DD215A" w:rsidP="00DD215A">
            <w:pPr>
              <w:suppressAutoHyphens/>
              <w:spacing w:after="0"/>
              <w:jc w:val="both"/>
              <w:rPr>
                <w:rFonts w:asciiTheme="minorHAnsi" w:hAnsiTheme="minorHAnsi" w:cstheme="minorHAnsi"/>
                <w:b/>
                <w:sz w:val="18"/>
                <w:szCs w:val="18"/>
              </w:rPr>
            </w:pPr>
            <w:r w:rsidRPr="00846EEE">
              <w:rPr>
                <w:rFonts w:asciiTheme="minorHAnsi" w:hAnsiTheme="minorHAnsi" w:cstheme="minorHAnsi"/>
                <w:sz w:val="18"/>
                <w:szCs w:val="18"/>
              </w:rPr>
              <w:t>Share-based payment expense</w:t>
            </w:r>
          </w:p>
        </w:tc>
        <w:tc>
          <w:tcPr>
            <w:tcW w:w="769" w:type="pct"/>
            <w:tcBorders>
              <w:left w:val="single" w:sz="4" w:space="0" w:color="auto"/>
            </w:tcBorders>
            <w:shd w:val="clear" w:color="auto" w:fill="auto"/>
            <w:vAlign w:val="bottom"/>
          </w:tcPr>
          <w:p w14:paraId="5B499DE8" w14:textId="71ADBBF8" w:rsidR="00DD215A" w:rsidRPr="00997EF7" w:rsidRDefault="00DD215A" w:rsidP="00997EF7">
            <w:pPr>
              <w:autoSpaceDE w:val="0"/>
              <w:autoSpaceDN w:val="0"/>
              <w:adjustRightInd w:val="0"/>
              <w:spacing w:after="0"/>
              <w:ind w:right="57"/>
              <w:jc w:val="right"/>
              <w:rPr>
                <w:rFonts w:asciiTheme="minorHAnsi" w:hAnsiTheme="minorHAnsi" w:cstheme="minorHAnsi"/>
                <w:color w:val="000000"/>
                <w:sz w:val="18"/>
                <w:szCs w:val="18"/>
              </w:rPr>
            </w:pPr>
            <w:r w:rsidRPr="00997EF7">
              <w:rPr>
                <w:rFonts w:asciiTheme="minorHAnsi" w:hAnsiTheme="minorHAnsi" w:cstheme="minorHAnsi"/>
                <w:color w:val="000000"/>
                <w:sz w:val="18"/>
                <w:szCs w:val="18"/>
              </w:rPr>
              <w:t xml:space="preserve">       (128)</w:t>
            </w:r>
          </w:p>
        </w:tc>
        <w:tc>
          <w:tcPr>
            <w:tcW w:w="769" w:type="pct"/>
            <w:vAlign w:val="bottom"/>
          </w:tcPr>
          <w:p w14:paraId="789DC797" w14:textId="57DBEBB2" w:rsidR="00DD215A" w:rsidRPr="00846EEE" w:rsidRDefault="00DD215A" w:rsidP="00997EF7">
            <w:pPr>
              <w:autoSpaceDE w:val="0"/>
              <w:autoSpaceDN w:val="0"/>
              <w:adjustRightInd w:val="0"/>
              <w:spacing w:after="0"/>
              <w:ind w:right="57"/>
              <w:jc w:val="right"/>
              <w:rPr>
                <w:rFonts w:asciiTheme="minorHAnsi" w:hAnsiTheme="minorHAnsi" w:cstheme="minorHAnsi"/>
                <w:sz w:val="18"/>
                <w:szCs w:val="18"/>
              </w:rPr>
            </w:pPr>
            <w:r w:rsidRPr="00846EEE">
              <w:rPr>
                <w:rFonts w:asciiTheme="minorHAnsi" w:hAnsiTheme="minorHAnsi" w:cstheme="minorHAnsi"/>
                <w:color w:val="000000"/>
                <w:sz w:val="18"/>
                <w:szCs w:val="18"/>
              </w:rPr>
              <w:t xml:space="preserve">       (144)</w:t>
            </w:r>
          </w:p>
        </w:tc>
        <w:tc>
          <w:tcPr>
            <w:tcW w:w="769" w:type="pct"/>
            <w:tcBorders>
              <w:right w:val="single" w:sz="4" w:space="0" w:color="auto"/>
            </w:tcBorders>
            <w:shd w:val="clear" w:color="auto" w:fill="auto"/>
            <w:tcMar>
              <w:right w:w="58" w:type="dxa"/>
            </w:tcMar>
            <w:vAlign w:val="bottom"/>
          </w:tcPr>
          <w:p w14:paraId="323BA3E6" w14:textId="06D1B1C7" w:rsidR="00DD215A" w:rsidRPr="00846EEE" w:rsidRDefault="00DD215A" w:rsidP="00DD215A">
            <w:pPr>
              <w:autoSpaceDE w:val="0"/>
              <w:autoSpaceDN w:val="0"/>
              <w:adjustRightInd w:val="0"/>
              <w:spacing w:after="0"/>
              <w:jc w:val="right"/>
              <w:rPr>
                <w:rFonts w:asciiTheme="minorHAnsi" w:hAnsiTheme="minorHAnsi" w:cstheme="minorHAnsi"/>
                <w:b/>
                <w:sz w:val="18"/>
                <w:szCs w:val="18"/>
              </w:rPr>
            </w:pPr>
            <w:r w:rsidRPr="00846EEE">
              <w:rPr>
                <w:rFonts w:asciiTheme="minorHAnsi" w:hAnsiTheme="minorHAnsi" w:cstheme="minorHAnsi"/>
                <w:color w:val="000000"/>
                <w:sz w:val="18"/>
                <w:szCs w:val="18"/>
              </w:rPr>
              <w:t xml:space="preserve">         (403)</w:t>
            </w:r>
          </w:p>
        </w:tc>
      </w:tr>
      <w:tr w:rsidR="00DD215A" w:rsidRPr="00551D5A" w14:paraId="63AFD226" w14:textId="77777777" w:rsidTr="00997EF7">
        <w:trPr>
          <w:trHeight w:val="276"/>
        </w:trPr>
        <w:tc>
          <w:tcPr>
            <w:tcW w:w="2692" w:type="pct"/>
            <w:tcBorders>
              <w:bottom w:val="single" w:sz="4" w:space="0" w:color="000000" w:themeColor="text1"/>
            </w:tcBorders>
            <w:shd w:val="clear" w:color="auto" w:fill="auto"/>
            <w:vAlign w:val="bottom"/>
          </w:tcPr>
          <w:p w14:paraId="660E43A1" w14:textId="77777777" w:rsidR="00DD215A" w:rsidRPr="00846EEE" w:rsidRDefault="00DD215A" w:rsidP="00DD215A">
            <w:pPr>
              <w:suppressAutoHyphens/>
              <w:spacing w:after="0"/>
              <w:jc w:val="both"/>
              <w:rPr>
                <w:rFonts w:asciiTheme="minorHAnsi" w:hAnsiTheme="minorHAnsi" w:cstheme="minorHAnsi"/>
                <w:b/>
                <w:sz w:val="18"/>
                <w:szCs w:val="18"/>
              </w:rPr>
            </w:pPr>
            <w:r w:rsidRPr="00846EEE">
              <w:rPr>
                <w:rFonts w:asciiTheme="minorHAnsi" w:hAnsiTheme="minorHAnsi" w:cstheme="minorHAnsi"/>
                <w:sz w:val="18"/>
                <w:szCs w:val="18"/>
              </w:rPr>
              <w:t>Total administrative expenses</w:t>
            </w:r>
          </w:p>
        </w:tc>
        <w:tc>
          <w:tcPr>
            <w:tcW w:w="769" w:type="pct"/>
            <w:tcBorders>
              <w:top w:val="single" w:sz="4" w:space="0" w:color="auto"/>
              <w:bottom w:val="single" w:sz="4" w:space="0" w:color="000000" w:themeColor="text1"/>
            </w:tcBorders>
            <w:shd w:val="clear" w:color="auto" w:fill="auto"/>
            <w:vAlign w:val="bottom"/>
          </w:tcPr>
          <w:p w14:paraId="4C456868" w14:textId="1517836F" w:rsidR="00DD215A" w:rsidRPr="00997EF7" w:rsidRDefault="00DD215A" w:rsidP="00997EF7">
            <w:pPr>
              <w:autoSpaceDE w:val="0"/>
              <w:autoSpaceDN w:val="0"/>
              <w:adjustRightInd w:val="0"/>
              <w:spacing w:after="0"/>
              <w:ind w:right="57"/>
              <w:jc w:val="right"/>
              <w:rPr>
                <w:rFonts w:asciiTheme="minorHAnsi" w:hAnsiTheme="minorHAnsi" w:cstheme="minorHAnsi"/>
                <w:color w:val="000000"/>
                <w:sz w:val="18"/>
                <w:szCs w:val="18"/>
              </w:rPr>
            </w:pPr>
            <w:r w:rsidRPr="00997EF7">
              <w:rPr>
                <w:rFonts w:asciiTheme="minorHAnsi" w:hAnsiTheme="minorHAnsi" w:cstheme="minorHAnsi"/>
                <w:color w:val="000000"/>
                <w:sz w:val="18"/>
                <w:szCs w:val="18"/>
              </w:rPr>
              <w:t xml:space="preserve">  (1</w:t>
            </w:r>
            <w:r w:rsidR="00E37CE5" w:rsidRPr="00997EF7">
              <w:rPr>
                <w:rFonts w:asciiTheme="minorHAnsi" w:hAnsiTheme="minorHAnsi" w:cstheme="minorHAnsi"/>
                <w:color w:val="000000"/>
                <w:sz w:val="18"/>
                <w:szCs w:val="18"/>
              </w:rPr>
              <w:t>1,661</w:t>
            </w:r>
            <w:r w:rsidRPr="00997EF7">
              <w:rPr>
                <w:rFonts w:asciiTheme="minorHAnsi" w:hAnsiTheme="minorHAnsi" w:cstheme="minorHAnsi"/>
                <w:color w:val="000000"/>
                <w:sz w:val="18"/>
                <w:szCs w:val="18"/>
              </w:rPr>
              <w:t>)</w:t>
            </w:r>
          </w:p>
        </w:tc>
        <w:tc>
          <w:tcPr>
            <w:tcW w:w="769" w:type="pct"/>
            <w:tcBorders>
              <w:top w:val="single" w:sz="4" w:space="0" w:color="auto"/>
              <w:bottom w:val="single" w:sz="4" w:space="0" w:color="000000" w:themeColor="text1"/>
            </w:tcBorders>
            <w:vAlign w:val="bottom"/>
          </w:tcPr>
          <w:p w14:paraId="3CA17817" w14:textId="23767A1D" w:rsidR="00DD215A" w:rsidRPr="00846EEE" w:rsidRDefault="00DD215A" w:rsidP="00997EF7">
            <w:pPr>
              <w:autoSpaceDE w:val="0"/>
              <w:autoSpaceDN w:val="0"/>
              <w:adjustRightInd w:val="0"/>
              <w:spacing w:after="0"/>
              <w:ind w:right="57"/>
              <w:jc w:val="right"/>
              <w:rPr>
                <w:rFonts w:asciiTheme="minorHAnsi" w:hAnsiTheme="minorHAnsi" w:cstheme="minorHAnsi"/>
                <w:sz w:val="18"/>
                <w:szCs w:val="18"/>
              </w:rPr>
            </w:pPr>
            <w:r w:rsidRPr="00846EEE">
              <w:rPr>
                <w:rFonts w:asciiTheme="minorHAnsi" w:hAnsiTheme="minorHAnsi" w:cstheme="minorHAnsi"/>
                <w:color w:val="000000"/>
                <w:sz w:val="18"/>
                <w:szCs w:val="18"/>
              </w:rPr>
              <w:t xml:space="preserve">  (10,770)</w:t>
            </w:r>
          </w:p>
        </w:tc>
        <w:tc>
          <w:tcPr>
            <w:tcW w:w="769" w:type="pct"/>
            <w:tcBorders>
              <w:top w:val="single" w:sz="4" w:space="0" w:color="auto"/>
              <w:bottom w:val="single" w:sz="4" w:space="0" w:color="000000" w:themeColor="text1"/>
            </w:tcBorders>
            <w:shd w:val="clear" w:color="auto" w:fill="auto"/>
            <w:tcMar>
              <w:right w:w="58" w:type="dxa"/>
            </w:tcMar>
            <w:vAlign w:val="bottom"/>
          </w:tcPr>
          <w:p w14:paraId="1DC32D5C" w14:textId="5262B99E" w:rsidR="00DD215A" w:rsidRPr="00846EEE" w:rsidRDefault="00DD215A" w:rsidP="00DD215A">
            <w:pPr>
              <w:autoSpaceDE w:val="0"/>
              <w:autoSpaceDN w:val="0"/>
              <w:adjustRightInd w:val="0"/>
              <w:spacing w:after="0"/>
              <w:jc w:val="right"/>
              <w:rPr>
                <w:rFonts w:asciiTheme="minorHAnsi" w:hAnsiTheme="minorHAnsi" w:cstheme="minorHAnsi"/>
                <w:b/>
                <w:sz w:val="18"/>
                <w:szCs w:val="18"/>
              </w:rPr>
            </w:pPr>
            <w:r w:rsidRPr="00846EEE">
              <w:rPr>
                <w:rFonts w:asciiTheme="minorHAnsi" w:hAnsiTheme="minorHAnsi" w:cstheme="minorHAnsi"/>
                <w:color w:val="000000"/>
                <w:sz w:val="18"/>
                <w:szCs w:val="18"/>
              </w:rPr>
              <w:t xml:space="preserve">    (22,073)</w:t>
            </w:r>
          </w:p>
        </w:tc>
      </w:tr>
      <w:tr w:rsidR="00DD215A" w:rsidRPr="00551D5A" w14:paraId="364A48F8" w14:textId="77777777" w:rsidTr="00997EF7">
        <w:trPr>
          <w:trHeight w:val="267"/>
        </w:trPr>
        <w:tc>
          <w:tcPr>
            <w:tcW w:w="2692" w:type="pct"/>
            <w:tcBorders>
              <w:top w:val="single" w:sz="4" w:space="0" w:color="000000" w:themeColor="text1"/>
            </w:tcBorders>
            <w:shd w:val="clear" w:color="auto" w:fill="auto"/>
            <w:vAlign w:val="bottom"/>
          </w:tcPr>
          <w:p w14:paraId="6B1DF0B1" w14:textId="77777777" w:rsidR="00DD215A" w:rsidRPr="00846EEE" w:rsidRDefault="00DD215A" w:rsidP="00DD215A">
            <w:pPr>
              <w:suppressAutoHyphens/>
              <w:spacing w:after="0"/>
              <w:jc w:val="both"/>
              <w:rPr>
                <w:rFonts w:asciiTheme="minorHAnsi" w:hAnsiTheme="minorHAnsi" w:cstheme="minorHAnsi"/>
                <w:b/>
                <w:sz w:val="18"/>
                <w:szCs w:val="18"/>
              </w:rPr>
            </w:pPr>
            <w:r w:rsidRPr="00846EEE">
              <w:rPr>
                <w:rFonts w:asciiTheme="minorHAnsi" w:hAnsiTheme="minorHAnsi" w:cstheme="minorHAnsi"/>
                <w:bCs/>
                <w:sz w:val="18"/>
                <w:szCs w:val="18"/>
              </w:rPr>
              <w:t>Operating profit</w:t>
            </w:r>
          </w:p>
        </w:tc>
        <w:tc>
          <w:tcPr>
            <w:tcW w:w="769" w:type="pct"/>
            <w:tcBorders>
              <w:top w:val="single" w:sz="4" w:space="0" w:color="000000" w:themeColor="text1"/>
            </w:tcBorders>
            <w:shd w:val="clear" w:color="auto" w:fill="auto"/>
            <w:vAlign w:val="bottom"/>
          </w:tcPr>
          <w:p w14:paraId="76A79DEC" w14:textId="4219EC20" w:rsidR="00DD215A" w:rsidRPr="00997EF7" w:rsidRDefault="00DD215A" w:rsidP="00997EF7">
            <w:pPr>
              <w:autoSpaceDE w:val="0"/>
              <w:autoSpaceDN w:val="0"/>
              <w:adjustRightInd w:val="0"/>
              <w:spacing w:after="0"/>
              <w:ind w:right="57"/>
              <w:jc w:val="right"/>
              <w:rPr>
                <w:rFonts w:asciiTheme="minorHAnsi" w:hAnsiTheme="minorHAnsi" w:cstheme="minorHAnsi"/>
                <w:color w:val="000000"/>
                <w:sz w:val="18"/>
                <w:szCs w:val="18"/>
              </w:rPr>
            </w:pPr>
            <w:r w:rsidRPr="00997EF7">
              <w:rPr>
                <w:rFonts w:asciiTheme="minorHAnsi" w:hAnsiTheme="minorHAnsi" w:cstheme="minorHAnsi"/>
                <w:color w:val="000000"/>
                <w:sz w:val="18"/>
                <w:szCs w:val="18"/>
              </w:rPr>
              <w:t xml:space="preserve">     9,9</w:t>
            </w:r>
            <w:r w:rsidR="00E37CE5" w:rsidRPr="00997EF7">
              <w:rPr>
                <w:rFonts w:asciiTheme="minorHAnsi" w:hAnsiTheme="minorHAnsi" w:cstheme="minorHAnsi"/>
                <w:color w:val="000000"/>
                <w:sz w:val="18"/>
                <w:szCs w:val="18"/>
              </w:rPr>
              <w:t>69</w:t>
            </w:r>
            <w:r w:rsidRPr="00997EF7">
              <w:rPr>
                <w:rFonts w:asciiTheme="minorHAnsi" w:hAnsiTheme="minorHAnsi" w:cstheme="minorHAnsi"/>
                <w:color w:val="000000"/>
                <w:sz w:val="18"/>
                <w:szCs w:val="18"/>
              </w:rPr>
              <w:t xml:space="preserve"> </w:t>
            </w:r>
          </w:p>
        </w:tc>
        <w:tc>
          <w:tcPr>
            <w:tcW w:w="769" w:type="pct"/>
            <w:tcBorders>
              <w:top w:val="single" w:sz="4" w:space="0" w:color="000000" w:themeColor="text1"/>
            </w:tcBorders>
            <w:vAlign w:val="bottom"/>
          </w:tcPr>
          <w:p w14:paraId="30208C72" w14:textId="717D824D" w:rsidR="00DD215A" w:rsidRPr="00846EEE" w:rsidRDefault="00DD215A" w:rsidP="00997EF7">
            <w:pPr>
              <w:autoSpaceDE w:val="0"/>
              <w:autoSpaceDN w:val="0"/>
              <w:adjustRightInd w:val="0"/>
              <w:spacing w:after="0"/>
              <w:ind w:right="57"/>
              <w:jc w:val="right"/>
              <w:rPr>
                <w:rFonts w:asciiTheme="minorHAnsi" w:hAnsiTheme="minorHAnsi" w:cstheme="minorHAnsi"/>
                <w:sz w:val="18"/>
                <w:szCs w:val="18"/>
              </w:rPr>
            </w:pPr>
            <w:r w:rsidRPr="00846EEE">
              <w:rPr>
                <w:rFonts w:asciiTheme="minorHAnsi" w:hAnsiTheme="minorHAnsi" w:cstheme="minorHAnsi"/>
                <w:color w:val="000000"/>
                <w:sz w:val="18"/>
                <w:szCs w:val="18"/>
              </w:rPr>
              <w:t xml:space="preserve">   10,131 </w:t>
            </w:r>
          </w:p>
        </w:tc>
        <w:tc>
          <w:tcPr>
            <w:tcW w:w="769" w:type="pct"/>
            <w:tcBorders>
              <w:top w:val="single" w:sz="4" w:space="0" w:color="000000" w:themeColor="text1"/>
            </w:tcBorders>
            <w:shd w:val="clear" w:color="auto" w:fill="auto"/>
            <w:tcMar>
              <w:right w:w="58" w:type="dxa"/>
            </w:tcMar>
            <w:vAlign w:val="bottom"/>
          </w:tcPr>
          <w:p w14:paraId="17626F08" w14:textId="598BC944" w:rsidR="00DD215A" w:rsidRPr="00846EEE" w:rsidRDefault="00DD215A" w:rsidP="00DD215A">
            <w:pPr>
              <w:autoSpaceDE w:val="0"/>
              <w:autoSpaceDN w:val="0"/>
              <w:adjustRightInd w:val="0"/>
              <w:spacing w:after="0"/>
              <w:jc w:val="right"/>
              <w:rPr>
                <w:rFonts w:asciiTheme="minorHAnsi" w:hAnsiTheme="minorHAnsi" w:cstheme="minorHAnsi"/>
                <w:b/>
                <w:sz w:val="18"/>
                <w:szCs w:val="18"/>
              </w:rPr>
            </w:pPr>
            <w:r w:rsidRPr="00846EEE">
              <w:rPr>
                <w:rFonts w:asciiTheme="minorHAnsi" w:hAnsiTheme="minorHAnsi" w:cstheme="minorHAnsi"/>
                <w:color w:val="000000"/>
                <w:sz w:val="18"/>
                <w:szCs w:val="18"/>
              </w:rPr>
              <w:t xml:space="preserve">     16,281 </w:t>
            </w:r>
          </w:p>
        </w:tc>
      </w:tr>
      <w:tr w:rsidR="00DD215A" w:rsidRPr="00551D5A" w14:paraId="3FF29275" w14:textId="77777777" w:rsidTr="00997EF7">
        <w:trPr>
          <w:trHeight w:val="276"/>
        </w:trPr>
        <w:tc>
          <w:tcPr>
            <w:tcW w:w="2692" w:type="pct"/>
            <w:tcBorders>
              <w:bottom w:val="single" w:sz="4" w:space="0" w:color="000000" w:themeColor="text1"/>
            </w:tcBorders>
            <w:shd w:val="clear" w:color="auto" w:fill="auto"/>
            <w:vAlign w:val="bottom"/>
          </w:tcPr>
          <w:p w14:paraId="5ADE1B5F" w14:textId="77777777" w:rsidR="00DD215A" w:rsidRPr="00846EEE" w:rsidRDefault="00DD215A" w:rsidP="00DD215A">
            <w:pPr>
              <w:suppressAutoHyphens/>
              <w:spacing w:after="0"/>
              <w:jc w:val="both"/>
              <w:rPr>
                <w:rFonts w:asciiTheme="minorHAnsi" w:hAnsiTheme="minorHAnsi" w:cstheme="minorHAnsi"/>
                <w:b/>
                <w:sz w:val="18"/>
                <w:szCs w:val="18"/>
              </w:rPr>
            </w:pPr>
            <w:r w:rsidRPr="00846EEE">
              <w:rPr>
                <w:rFonts w:asciiTheme="minorHAnsi" w:hAnsiTheme="minorHAnsi" w:cstheme="minorHAnsi"/>
                <w:sz w:val="18"/>
                <w:szCs w:val="18"/>
              </w:rPr>
              <w:t>Finance expense</w:t>
            </w:r>
          </w:p>
        </w:tc>
        <w:tc>
          <w:tcPr>
            <w:tcW w:w="769" w:type="pct"/>
            <w:tcBorders>
              <w:bottom w:val="single" w:sz="4" w:space="0" w:color="000000" w:themeColor="text1"/>
            </w:tcBorders>
            <w:shd w:val="clear" w:color="auto" w:fill="auto"/>
            <w:vAlign w:val="bottom"/>
          </w:tcPr>
          <w:p w14:paraId="15CCFE14" w14:textId="65B05081" w:rsidR="00DD215A" w:rsidRPr="00997EF7" w:rsidRDefault="00DD215A" w:rsidP="00997EF7">
            <w:pPr>
              <w:autoSpaceDE w:val="0"/>
              <w:autoSpaceDN w:val="0"/>
              <w:adjustRightInd w:val="0"/>
              <w:spacing w:after="0"/>
              <w:ind w:right="57"/>
              <w:jc w:val="right"/>
              <w:rPr>
                <w:rFonts w:asciiTheme="minorHAnsi" w:hAnsiTheme="minorHAnsi" w:cstheme="minorHAnsi"/>
                <w:color w:val="000000"/>
                <w:sz w:val="18"/>
                <w:szCs w:val="18"/>
              </w:rPr>
            </w:pPr>
            <w:r w:rsidRPr="00997EF7">
              <w:rPr>
                <w:rFonts w:asciiTheme="minorHAnsi" w:hAnsiTheme="minorHAnsi" w:cstheme="minorHAnsi"/>
                <w:color w:val="000000"/>
                <w:sz w:val="18"/>
                <w:szCs w:val="18"/>
              </w:rPr>
              <w:t xml:space="preserve">       (711)</w:t>
            </w:r>
          </w:p>
        </w:tc>
        <w:tc>
          <w:tcPr>
            <w:tcW w:w="769" w:type="pct"/>
            <w:tcBorders>
              <w:bottom w:val="single" w:sz="4" w:space="0" w:color="000000" w:themeColor="text1"/>
            </w:tcBorders>
            <w:vAlign w:val="bottom"/>
          </w:tcPr>
          <w:p w14:paraId="29BC60E9" w14:textId="22F751FB" w:rsidR="00DD215A" w:rsidRPr="00846EEE" w:rsidRDefault="00DD215A" w:rsidP="00997EF7">
            <w:pPr>
              <w:autoSpaceDE w:val="0"/>
              <w:autoSpaceDN w:val="0"/>
              <w:adjustRightInd w:val="0"/>
              <w:spacing w:after="0"/>
              <w:ind w:right="57"/>
              <w:jc w:val="right"/>
              <w:rPr>
                <w:rFonts w:asciiTheme="minorHAnsi" w:hAnsiTheme="minorHAnsi" w:cstheme="minorHAnsi"/>
                <w:sz w:val="18"/>
                <w:szCs w:val="18"/>
              </w:rPr>
            </w:pPr>
            <w:r w:rsidRPr="00846EEE">
              <w:rPr>
                <w:rFonts w:asciiTheme="minorHAnsi" w:hAnsiTheme="minorHAnsi" w:cstheme="minorHAnsi"/>
                <w:color w:val="000000"/>
                <w:sz w:val="18"/>
                <w:szCs w:val="18"/>
              </w:rPr>
              <w:t xml:space="preserve">       (361)</w:t>
            </w:r>
          </w:p>
        </w:tc>
        <w:tc>
          <w:tcPr>
            <w:tcW w:w="769" w:type="pct"/>
            <w:tcBorders>
              <w:bottom w:val="single" w:sz="4" w:space="0" w:color="000000" w:themeColor="text1"/>
            </w:tcBorders>
            <w:shd w:val="clear" w:color="auto" w:fill="auto"/>
            <w:tcMar>
              <w:right w:w="58" w:type="dxa"/>
            </w:tcMar>
            <w:vAlign w:val="bottom"/>
          </w:tcPr>
          <w:p w14:paraId="743C14B0" w14:textId="71BE263B" w:rsidR="00DD215A" w:rsidRPr="00846EEE" w:rsidRDefault="00DD215A" w:rsidP="00DD215A">
            <w:pPr>
              <w:autoSpaceDE w:val="0"/>
              <w:autoSpaceDN w:val="0"/>
              <w:adjustRightInd w:val="0"/>
              <w:spacing w:after="0"/>
              <w:jc w:val="right"/>
              <w:rPr>
                <w:rFonts w:asciiTheme="minorHAnsi" w:hAnsiTheme="minorHAnsi" w:cstheme="minorHAnsi"/>
                <w:b/>
                <w:sz w:val="18"/>
                <w:szCs w:val="18"/>
              </w:rPr>
            </w:pPr>
            <w:r w:rsidRPr="00846EEE">
              <w:rPr>
                <w:rFonts w:asciiTheme="minorHAnsi" w:hAnsiTheme="minorHAnsi" w:cstheme="minorHAnsi"/>
                <w:color w:val="000000"/>
                <w:sz w:val="18"/>
                <w:szCs w:val="18"/>
              </w:rPr>
              <w:t xml:space="preserve">         (842)</w:t>
            </w:r>
          </w:p>
        </w:tc>
      </w:tr>
      <w:tr w:rsidR="00DD215A" w:rsidRPr="00551D5A" w14:paraId="52FC9135" w14:textId="77777777" w:rsidTr="00997EF7">
        <w:trPr>
          <w:trHeight w:val="267"/>
        </w:trPr>
        <w:tc>
          <w:tcPr>
            <w:tcW w:w="2692" w:type="pct"/>
            <w:tcBorders>
              <w:top w:val="single" w:sz="4" w:space="0" w:color="000000" w:themeColor="text1"/>
            </w:tcBorders>
            <w:shd w:val="clear" w:color="auto" w:fill="auto"/>
            <w:vAlign w:val="bottom"/>
          </w:tcPr>
          <w:p w14:paraId="57E96958" w14:textId="77777777" w:rsidR="00DD215A" w:rsidRPr="00846EEE" w:rsidRDefault="00DD215A" w:rsidP="00DD215A">
            <w:pPr>
              <w:suppressAutoHyphens/>
              <w:spacing w:after="0"/>
              <w:jc w:val="both"/>
              <w:rPr>
                <w:rFonts w:asciiTheme="minorHAnsi" w:hAnsiTheme="minorHAnsi" w:cstheme="minorHAnsi"/>
                <w:b/>
                <w:sz w:val="18"/>
                <w:szCs w:val="18"/>
              </w:rPr>
            </w:pPr>
            <w:r w:rsidRPr="00846EEE">
              <w:rPr>
                <w:rFonts w:asciiTheme="minorHAnsi" w:hAnsiTheme="minorHAnsi" w:cstheme="minorHAnsi"/>
                <w:bCs/>
                <w:sz w:val="18"/>
                <w:szCs w:val="18"/>
              </w:rPr>
              <w:t>Profit before tax</w:t>
            </w:r>
          </w:p>
        </w:tc>
        <w:tc>
          <w:tcPr>
            <w:tcW w:w="769" w:type="pct"/>
            <w:tcBorders>
              <w:top w:val="single" w:sz="4" w:space="0" w:color="000000" w:themeColor="text1"/>
            </w:tcBorders>
            <w:shd w:val="clear" w:color="auto" w:fill="auto"/>
            <w:vAlign w:val="bottom"/>
          </w:tcPr>
          <w:p w14:paraId="307B42D1" w14:textId="7784674E" w:rsidR="00DD215A" w:rsidRPr="00997EF7" w:rsidRDefault="00DD215A" w:rsidP="00997EF7">
            <w:pPr>
              <w:autoSpaceDE w:val="0"/>
              <w:autoSpaceDN w:val="0"/>
              <w:adjustRightInd w:val="0"/>
              <w:spacing w:after="0"/>
              <w:ind w:right="57"/>
              <w:jc w:val="right"/>
              <w:rPr>
                <w:rFonts w:asciiTheme="minorHAnsi" w:hAnsiTheme="minorHAnsi" w:cstheme="minorHAnsi"/>
                <w:color w:val="000000"/>
                <w:sz w:val="18"/>
                <w:szCs w:val="18"/>
              </w:rPr>
            </w:pPr>
            <w:r w:rsidRPr="00997EF7">
              <w:rPr>
                <w:rFonts w:asciiTheme="minorHAnsi" w:hAnsiTheme="minorHAnsi" w:cstheme="minorHAnsi"/>
                <w:color w:val="000000"/>
                <w:sz w:val="18"/>
                <w:szCs w:val="18"/>
              </w:rPr>
              <w:t xml:space="preserve">     9,2</w:t>
            </w:r>
            <w:r w:rsidR="00E37CE5" w:rsidRPr="00997EF7">
              <w:rPr>
                <w:rFonts w:asciiTheme="minorHAnsi" w:hAnsiTheme="minorHAnsi" w:cstheme="minorHAnsi"/>
                <w:color w:val="000000"/>
                <w:sz w:val="18"/>
                <w:szCs w:val="18"/>
              </w:rPr>
              <w:t>58</w:t>
            </w:r>
            <w:r w:rsidRPr="00997EF7">
              <w:rPr>
                <w:rFonts w:asciiTheme="minorHAnsi" w:hAnsiTheme="minorHAnsi" w:cstheme="minorHAnsi"/>
                <w:color w:val="000000"/>
                <w:sz w:val="18"/>
                <w:szCs w:val="18"/>
              </w:rPr>
              <w:t xml:space="preserve"> </w:t>
            </w:r>
          </w:p>
        </w:tc>
        <w:tc>
          <w:tcPr>
            <w:tcW w:w="769" w:type="pct"/>
            <w:tcBorders>
              <w:top w:val="single" w:sz="4" w:space="0" w:color="000000" w:themeColor="text1"/>
            </w:tcBorders>
            <w:vAlign w:val="bottom"/>
          </w:tcPr>
          <w:p w14:paraId="073F9E6B" w14:textId="34508F8A" w:rsidR="00DD215A" w:rsidRPr="00846EEE" w:rsidRDefault="00DD215A" w:rsidP="00997EF7">
            <w:pPr>
              <w:autoSpaceDE w:val="0"/>
              <w:autoSpaceDN w:val="0"/>
              <w:adjustRightInd w:val="0"/>
              <w:spacing w:after="0"/>
              <w:ind w:right="57"/>
              <w:jc w:val="right"/>
              <w:rPr>
                <w:rFonts w:asciiTheme="minorHAnsi" w:hAnsiTheme="minorHAnsi" w:cstheme="minorHAnsi"/>
                <w:sz w:val="18"/>
                <w:szCs w:val="18"/>
              </w:rPr>
            </w:pPr>
            <w:r w:rsidRPr="00846EEE">
              <w:rPr>
                <w:rFonts w:asciiTheme="minorHAnsi" w:hAnsiTheme="minorHAnsi" w:cstheme="minorHAnsi"/>
                <w:color w:val="000000"/>
                <w:sz w:val="18"/>
                <w:szCs w:val="18"/>
              </w:rPr>
              <w:t xml:space="preserve">     9,770 </w:t>
            </w:r>
          </w:p>
        </w:tc>
        <w:tc>
          <w:tcPr>
            <w:tcW w:w="769" w:type="pct"/>
            <w:tcBorders>
              <w:top w:val="single" w:sz="4" w:space="0" w:color="000000" w:themeColor="text1"/>
            </w:tcBorders>
            <w:shd w:val="clear" w:color="auto" w:fill="auto"/>
            <w:tcMar>
              <w:right w:w="58" w:type="dxa"/>
            </w:tcMar>
            <w:vAlign w:val="bottom"/>
          </w:tcPr>
          <w:p w14:paraId="03BF0A58" w14:textId="29D3C6F5" w:rsidR="00DD215A" w:rsidRPr="00846EEE" w:rsidRDefault="00DD215A" w:rsidP="00DD215A">
            <w:pPr>
              <w:autoSpaceDE w:val="0"/>
              <w:autoSpaceDN w:val="0"/>
              <w:adjustRightInd w:val="0"/>
              <w:spacing w:after="0"/>
              <w:jc w:val="right"/>
              <w:rPr>
                <w:rFonts w:asciiTheme="minorHAnsi" w:hAnsiTheme="minorHAnsi" w:cstheme="minorHAnsi"/>
                <w:b/>
                <w:sz w:val="18"/>
                <w:szCs w:val="18"/>
              </w:rPr>
            </w:pPr>
            <w:r w:rsidRPr="00846EEE">
              <w:rPr>
                <w:rFonts w:asciiTheme="minorHAnsi" w:hAnsiTheme="minorHAnsi" w:cstheme="minorHAnsi"/>
                <w:color w:val="000000"/>
                <w:sz w:val="18"/>
                <w:szCs w:val="18"/>
              </w:rPr>
              <w:t xml:space="preserve">     15,439 </w:t>
            </w:r>
          </w:p>
        </w:tc>
      </w:tr>
      <w:tr w:rsidR="00DD215A" w:rsidRPr="00551D5A" w14:paraId="221233B4" w14:textId="77777777" w:rsidTr="00997EF7">
        <w:trPr>
          <w:trHeight w:val="88"/>
        </w:trPr>
        <w:tc>
          <w:tcPr>
            <w:tcW w:w="2692" w:type="pct"/>
            <w:tcBorders>
              <w:bottom w:val="single" w:sz="4" w:space="0" w:color="000000" w:themeColor="text1"/>
            </w:tcBorders>
            <w:shd w:val="clear" w:color="auto" w:fill="auto"/>
            <w:vAlign w:val="bottom"/>
          </w:tcPr>
          <w:p w14:paraId="3E5B83C8" w14:textId="77777777" w:rsidR="00DD215A" w:rsidRPr="00846EEE" w:rsidRDefault="00DD215A" w:rsidP="00DD215A">
            <w:pPr>
              <w:suppressAutoHyphens/>
              <w:spacing w:after="0"/>
              <w:jc w:val="both"/>
              <w:rPr>
                <w:rFonts w:asciiTheme="minorHAnsi" w:hAnsiTheme="minorHAnsi" w:cstheme="minorHAnsi"/>
                <w:b/>
                <w:sz w:val="18"/>
                <w:szCs w:val="18"/>
              </w:rPr>
            </w:pPr>
            <w:r w:rsidRPr="00846EEE">
              <w:rPr>
                <w:rFonts w:asciiTheme="minorHAnsi" w:hAnsiTheme="minorHAnsi" w:cstheme="minorHAnsi"/>
                <w:sz w:val="18"/>
                <w:szCs w:val="18"/>
              </w:rPr>
              <w:t>Tax expense</w:t>
            </w:r>
          </w:p>
        </w:tc>
        <w:tc>
          <w:tcPr>
            <w:tcW w:w="769" w:type="pct"/>
            <w:tcBorders>
              <w:bottom w:val="single" w:sz="4" w:space="0" w:color="000000" w:themeColor="text1"/>
            </w:tcBorders>
            <w:shd w:val="clear" w:color="auto" w:fill="auto"/>
            <w:vAlign w:val="bottom"/>
          </w:tcPr>
          <w:p w14:paraId="57DB6E37" w14:textId="2D7C19D1" w:rsidR="00DD215A" w:rsidRPr="00997EF7" w:rsidRDefault="00DD215A" w:rsidP="00997EF7">
            <w:pPr>
              <w:autoSpaceDE w:val="0"/>
              <w:autoSpaceDN w:val="0"/>
              <w:adjustRightInd w:val="0"/>
              <w:spacing w:after="0"/>
              <w:ind w:right="57"/>
              <w:jc w:val="right"/>
              <w:rPr>
                <w:rFonts w:asciiTheme="minorHAnsi" w:hAnsiTheme="minorHAnsi" w:cstheme="minorHAnsi"/>
                <w:color w:val="000000"/>
                <w:sz w:val="18"/>
                <w:szCs w:val="18"/>
              </w:rPr>
            </w:pPr>
            <w:r w:rsidRPr="00997EF7">
              <w:rPr>
                <w:rFonts w:asciiTheme="minorHAnsi" w:hAnsiTheme="minorHAnsi" w:cstheme="minorHAnsi"/>
                <w:color w:val="000000"/>
                <w:sz w:val="18"/>
                <w:szCs w:val="18"/>
              </w:rPr>
              <w:t xml:space="preserve">    (1,9</w:t>
            </w:r>
            <w:r w:rsidR="00F5593C">
              <w:rPr>
                <w:rFonts w:asciiTheme="minorHAnsi" w:hAnsiTheme="minorHAnsi" w:cstheme="minorHAnsi"/>
                <w:color w:val="000000"/>
                <w:sz w:val="18"/>
                <w:szCs w:val="18"/>
              </w:rPr>
              <w:t>78</w:t>
            </w:r>
            <w:r w:rsidRPr="00997EF7">
              <w:rPr>
                <w:rFonts w:asciiTheme="minorHAnsi" w:hAnsiTheme="minorHAnsi" w:cstheme="minorHAnsi"/>
                <w:color w:val="000000"/>
                <w:sz w:val="18"/>
                <w:szCs w:val="18"/>
              </w:rPr>
              <w:t>)</w:t>
            </w:r>
          </w:p>
        </w:tc>
        <w:tc>
          <w:tcPr>
            <w:tcW w:w="769" w:type="pct"/>
            <w:tcBorders>
              <w:bottom w:val="single" w:sz="4" w:space="0" w:color="000000" w:themeColor="text1"/>
            </w:tcBorders>
            <w:vAlign w:val="bottom"/>
          </w:tcPr>
          <w:p w14:paraId="40F4DA0F" w14:textId="7590F34A" w:rsidR="00DD215A" w:rsidRPr="00846EEE" w:rsidRDefault="00DD215A" w:rsidP="00997EF7">
            <w:pPr>
              <w:autoSpaceDE w:val="0"/>
              <w:autoSpaceDN w:val="0"/>
              <w:adjustRightInd w:val="0"/>
              <w:spacing w:after="0"/>
              <w:ind w:right="57"/>
              <w:jc w:val="right"/>
              <w:rPr>
                <w:rFonts w:asciiTheme="minorHAnsi" w:hAnsiTheme="minorHAnsi" w:cstheme="minorHAnsi"/>
                <w:sz w:val="18"/>
                <w:szCs w:val="18"/>
              </w:rPr>
            </w:pPr>
            <w:r w:rsidRPr="00846EEE">
              <w:rPr>
                <w:rFonts w:asciiTheme="minorHAnsi" w:hAnsiTheme="minorHAnsi" w:cstheme="minorHAnsi"/>
                <w:color w:val="000000"/>
                <w:sz w:val="18"/>
                <w:szCs w:val="18"/>
              </w:rPr>
              <w:t xml:space="preserve">    (2,150)</w:t>
            </w:r>
          </w:p>
        </w:tc>
        <w:tc>
          <w:tcPr>
            <w:tcW w:w="769" w:type="pct"/>
            <w:tcBorders>
              <w:bottom w:val="single" w:sz="4" w:space="0" w:color="000000" w:themeColor="text1"/>
            </w:tcBorders>
            <w:shd w:val="clear" w:color="auto" w:fill="auto"/>
            <w:tcMar>
              <w:right w:w="58" w:type="dxa"/>
            </w:tcMar>
            <w:vAlign w:val="bottom"/>
          </w:tcPr>
          <w:p w14:paraId="182016AA" w14:textId="2567A40E" w:rsidR="00DD215A" w:rsidRPr="00846EEE" w:rsidRDefault="00DD215A" w:rsidP="00DD215A">
            <w:pPr>
              <w:autoSpaceDE w:val="0"/>
              <w:autoSpaceDN w:val="0"/>
              <w:adjustRightInd w:val="0"/>
              <w:spacing w:after="0"/>
              <w:jc w:val="right"/>
              <w:rPr>
                <w:rFonts w:asciiTheme="minorHAnsi" w:hAnsiTheme="minorHAnsi" w:cstheme="minorHAnsi"/>
                <w:b/>
                <w:sz w:val="18"/>
                <w:szCs w:val="18"/>
              </w:rPr>
            </w:pPr>
            <w:r w:rsidRPr="00846EEE">
              <w:rPr>
                <w:rFonts w:asciiTheme="minorHAnsi" w:hAnsiTheme="minorHAnsi" w:cstheme="minorHAnsi"/>
                <w:color w:val="000000"/>
                <w:sz w:val="18"/>
                <w:szCs w:val="18"/>
              </w:rPr>
              <w:t xml:space="preserve">      (3,069)</w:t>
            </w:r>
          </w:p>
        </w:tc>
      </w:tr>
      <w:tr w:rsidR="00DD215A" w:rsidRPr="00551D5A" w14:paraId="530DCF61" w14:textId="77777777" w:rsidTr="00997EF7">
        <w:trPr>
          <w:trHeight w:val="216"/>
        </w:trPr>
        <w:tc>
          <w:tcPr>
            <w:tcW w:w="2692" w:type="pct"/>
            <w:tcBorders>
              <w:top w:val="single" w:sz="4" w:space="0" w:color="000000" w:themeColor="text1"/>
              <w:bottom w:val="single" w:sz="12" w:space="0" w:color="000000" w:themeColor="text1"/>
            </w:tcBorders>
            <w:shd w:val="clear" w:color="auto" w:fill="auto"/>
            <w:vAlign w:val="bottom"/>
          </w:tcPr>
          <w:p w14:paraId="2F563FDB" w14:textId="77777777" w:rsidR="00DD215A" w:rsidRPr="00846EEE" w:rsidRDefault="00DD215A" w:rsidP="00DD215A">
            <w:pPr>
              <w:suppressAutoHyphens/>
              <w:spacing w:after="0"/>
              <w:jc w:val="both"/>
              <w:rPr>
                <w:rFonts w:asciiTheme="minorHAnsi" w:hAnsiTheme="minorHAnsi" w:cstheme="minorHAnsi"/>
                <w:sz w:val="18"/>
                <w:szCs w:val="18"/>
              </w:rPr>
            </w:pPr>
            <w:r w:rsidRPr="00846EEE">
              <w:rPr>
                <w:rFonts w:asciiTheme="minorHAnsi" w:hAnsiTheme="minorHAnsi" w:cstheme="minorHAnsi"/>
                <w:sz w:val="18"/>
                <w:szCs w:val="18"/>
              </w:rPr>
              <w:t>Profit for the year attributable to equity holders of the Company</w:t>
            </w:r>
          </w:p>
        </w:tc>
        <w:tc>
          <w:tcPr>
            <w:tcW w:w="769" w:type="pct"/>
            <w:tcBorders>
              <w:top w:val="single" w:sz="4" w:space="0" w:color="000000" w:themeColor="text1"/>
              <w:bottom w:val="single" w:sz="12" w:space="0" w:color="000000" w:themeColor="text1"/>
            </w:tcBorders>
            <w:shd w:val="clear" w:color="auto" w:fill="auto"/>
            <w:vAlign w:val="bottom"/>
          </w:tcPr>
          <w:p w14:paraId="1ADC88A1" w14:textId="0CF731C8" w:rsidR="00DD215A" w:rsidRPr="00997EF7" w:rsidRDefault="00DD215A" w:rsidP="00997EF7">
            <w:pPr>
              <w:autoSpaceDE w:val="0"/>
              <w:autoSpaceDN w:val="0"/>
              <w:adjustRightInd w:val="0"/>
              <w:spacing w:after="0"/>
              <w:ind w:right="57"/>
              <w:jc w:val="right"/>
              <w:rPr>
                <w:rFonts w:asciiTheme="minorHAnsi" w:hAnsiTheme="minorHAnsi" w:cstheme="minorHAnsi"/>
                <w:color w:val="000000"/>
                <w:sz w:val="18"/>
                <w:szCs w:val="18"/>
              </w:rPr>
            </w:pPr>
            <w:r w:rsidRPr="00997EF7">
              <w:rPr>
                <w:rFonts w:asciiTheme="minorHAnsi" w:hAnsiTheme="minorHAnsi" w:cstheme="minorHAnsi"/>
                <w:color w:val="000000"/>
                <w:sz w:val="18"/>
                <w:szCs w:val="18"/>
              </w:rPr>
              <w:t xml:space="preserve">     7,28</w:t>
            </w:r>
            <w:r w:rsidR="00E37CE5" w:rsidRPr="00997EF7">
              <w:rPr>
                <w:rFonts w:asciiTheme="minorHAnsi" w:hAnsiTheme="minorHAnsi" w:cstheme="minorHAnsi"/>
                <w:color w:val="000000"/>
                <w:sz w:val="18"/>
                <w:szCs w:val="18"/>
              </w:rPr>
              <w:t>0</w:t>
            </w:r>
            <w:r w:rsidRPr="00997EF7">
              <w:rPr>
                <w:rFonts w:asciiTheme="minorHAnsi" w:hAnsiTheme="minorHAnsi" w:cstheme="minorHAnsi"/>
                <w:color w:val="000000"/>
                <w:sz w:val="18"/>
                <w:szCs w:val="18"/>
              </w:rPr>
              <w:t xml:space="preserve"> </w:t>
            </w:r>
          </w:p>
        </w:tc>
        <w:tc>
          <w:tcPr>
            <w:tcW w:w="769" w:type="pct"/>
            <w:tcBorders>
              <w:top w:val="single" w:sz="4" w:space="0" w:color="000000" w:themeColor="text1"/>
              <w:bottom w:val="single" w:sz="12" w:space="0" w:color="000000" w:themeColor="text1"/>
            </w:tcBorders>
            <w:vAlign w:val="bottom"/>
          </w:tcPr>
          <w:p w14:paraId="184D29A0" w14:textId="10F66EA8" w:rsidR="00DD215A" w:rsidRPr="00846EEE" w:rsidRDefault="00DD215A" w:rsidP="00997EF7">
            <w:pPr>
              <w:autoSpaceDE w:val="0"/>
              <w:autoSpaceDN w:val="0"/>
              <w:adjustRightInd w:val="0"/>
              <w:spacing w:after="0"/>
              <w:ind w:right="57"/>
              <w:jc w:val="right"/>
              <w:rPr>
                <w:rFonts w:asciiTheme="minorHAnsi" w:hAnsiTheme="minorHAnsi" w:cstheme="minorHAnsi"/>
                <w:sz w:val="18"/>
                <w:szCs w:val="18"/>
              </w:rPr>
            </w:pPr>
            <w:r w:rsidRPr="00846EEE">
              <w:rPr>
                <w:rFonts w:asciiTheme="minorHAnsi" w:hAnsiTheme="minorHAnsi" w:cstheme="minorHAnsi"/>
                <w:color w:val="000000"/>
                <w:sz w:val="18"/>
                <w:szCs w:val="18"/>
              </w:rPr>
              <w:t xml:space="preserve">     7,620 </w:t>
            </w:r>
          </w:p>
        </w:tc>
        <w:tc>
          <w:tcPr>
            <w:tcW w:w="769" w:type="pct"/>
            <w:tcBorders>
              <w:top w:val="single" w:sz="4" w:space="0" w:color="000000" w:themeColor="text1"/>
              <w:bottom w:val="single" w:sz="12" w:space="0" w:color="000000" w:themeColor="text1"/>
            </w:tcBorders>
            <w:shd w:val="clear" w:color="auto" w:fill="auto"/>
            <w:tcMar>
              <w:right w:w="58" w:type="dxa"/>
            </w:tcMar>
            <w:vAlign w:val="bottom"/>
          </w:tcPr>
          <w:p w14:paraId="19725AB0" w14:textId="6A0BA870" w:rsidR="00DD215A" w:rsidRPr="00846EEE" w:rsidRDefault="00DD215A" w:rsidP="00DD215A">
            <w:pPr>
              <w:autoSpaceDE w:val="0"/>
              <w:autoSpaceDN w:val="0"/>
              <w:adjustRightInd w:val="0"/>
              <w:spacing w:after="0"/>
              <w:jc w:val="right"/>
              <w:rPr>
                <w:rFonts w:asciiTheme="minorHAnsi" w:hAnsiTheme="minorHAnsi" w:cstheme="minorHAnsi"/>
                <w:sz w:val="18"/>
                <w:szCs w:val="18"/>
              </w:rPr>
            </w:pPr>
            <w:r w:rsidRPr="00846EEE">
              <w:rPr>
                <w:rFonts w:asciiTheme="minorHAnsi" w:hAnsiTheme="minorHAnsi" w:cstheme="minorHAnsi"/>
                <w:color w:val="000000"/>
                <w:sz w:val="18"/>
                <w:szCs w:val="18"/>
              </w:rPr>
              <w:t xml:space="preserve">     12,370 </w:t>
            </w:r>
          </w:p>
        </w:tc>
      </w:tr>
      <w:tr w:rsidR="0000593A" w:rsidRPr="00551D5A" w14:paraId="3CD00450" w14:textId="77777777" w:rsidTr="00997EF7">
        <w:trPr>
          <w:trHeight w:val="276"/>
        </w:trPr>
        <w:tc>
          <w:tcPr>
            <w:tcW w:w="2692" w:type="pct"/>
            <w:tcBorders>
              <w:top w:val="single" w:sz="12" w:space="0" w:color="000000" w:themeColor="text1"/>
            </w:tcBorders>
            <w:shd w:val="clear" w:color="auto" w:fill="auto"/>
            <w:vAlign w:val="bottom"/>
          </w:tcPr>
          <w:p w14:paraId="53D993FA" w14:textId="77777777" w:rsidR="0000593A" w:rsidRPr="00846EEE" w:rsidRDefault="0000593A" w:rsidP="0000593A">
            <w:pPr>
              <w:suppressAutoHyphens/>
              <w:spacing w:after="0"/>
              <w:jc w:val="both"/>
              <w:rPr>
                <w:rFonts w:asciiTheme="minorHAnsi" w:hAnsiTheme="minorHAnsi" w:cstheme="minorHAnsi"/>
                <w:b/>
                <w:sz w:val="18"/>
                <w:szCs w:val="18"/>
              </w:rPr>
            </w:pPr>
            <w:r w:rsidRPr="00846EEE">
              <w:rPr>
                <w:rFonts w:asciiTheme="minorHAnsi" w:hAnsiTheme="minorHAnsi" w:cstheme="minorHAnsi"/>
                <w:sz w:val="18"/>
                <w:szCs w:val="18"/>
              </w:rPr>
              <w:t>All amounts relate to continuing operations</w:t>
            </w:r>
          </w:p>
        </w:tc>
        <w:tc>
          <w:tcPr>
            <w:tcW w:w="769" w:type="pct"/>
            <w:tcBorders>
              <w:top w:val="single" w:sz="12" w:space="0" w:color="000000" w:themeColor="text1"/>
            </w:tcBorders>
            <w:shd w:val="clear" w:color="auto" w:fill="auto"/>
            <w:vAlign w:val="center"/>
          </w:tcPr>
          <w:p w14:paraId="5D0ED28F" w14:textId="77777777" w:rsidR="0000593A" w:rsidRPr="00997EF7" w:rsidRDefault="0000593A" w:rsidP="00997EF7">
            <w:pPr>
              <w:autoSpaceDE w:val="0"/>
              <w:autoSpaceDN w:val="0"/>
              <w:adjustRightInd w:val="0"/>
              <w:spacing w:after="0"/>
              <w:ind w:right="57"/>
              <w:jc w:val="right"/>
              <w:rPr>
                <w:rFonts w:asciiTheme="minorHAnsi" w:hAnsiTheme="minorHAnsi" w:cstheme="minorHAnsi"/>
                <w:color w:val="000000"/>
                <w:sz w:val="18"/>
                <w:szCs w:val="18"/>
              </w:rPr>
            </w:pPr>
            <w:r w:rsidRPr="00997EF7">
              <w:rPr>
                <w:rFonts w:asciiTheme="minorHAnsi" w:hAnsiTheme="minorHAnsi" w:cstheme="minorHAnsi"/>
                <w:color w:val="000000"/>
                <w:sz w:val="18"/>
                <w:szCs w:val="18"/>
              </w:rPr>
              <w:t> </w:t>
            </w:r>
          </w:p>
        </w:tc>
        <w:tc>
          <w:tcPr>
            <w:tcW w:w="769" w:type="pct"/>
            <w:tcBorders>
              <w:top w:val="single" w:sz="12" w:space="0" w:color="000000" w:themeColor="text1"/>
            </w:tcBorders>
            <w:vAlign w:val="center"/>
          </w:tcPr>
          <w:p w14:paraId="100F80CE" w14:textId="739B8639" w:rsidR="0000593A" w:rsidRPr="00846EEE" w:rsidRDefault="0000593A" w:rsidP="00997EF7">
            <w:pPr>
              <w:autoSpaceDE w:val="0"/>
              <w:autoSpaceDN w:val="0"/>
              <w:adjustRightInd w:val="0"/>
              <w:spacing w:after="0"/>
              <w:ind w:right="57"/>
              <w:jc w:val="right"/>
              <w:rPr>
                <w:rFonts w:asciiTheme="minorHAnsi" w:hAnsiTheme="minorHAnsi" w:cstheme="minorHAnsi"/>
                <w:b/>
                <w:sz w:val="18"/>
                <w:szCs w:val="18"/>
              </w:rPr>
            </w:pPr>
            <w:r w:rsidRPr="00846EEE">
              <w:rPr>
                <w:rFonts w:asciiTheme="minorHAnsi" w:hAnsiTheme="minorHAnsi" w:cstheme="minorHAnsi"/>
                <w:sz w:val="18"/>
                <w:szCs w:val="18"/>
              </w:rPr>
              <w:t> </w:t>
            </w:r>
          </w:p>
        </w:tc>
        <w:tc>
          <w:tcPr>
            <w:tcW w:w="769" w:type="pct"/>
            <w:tcBorders>
              <w:top w:val="single" w:sz="12" w:space="0" w:color="000000" w:themeColor="text1"/>
            </w:tcBorders>
            <w:shd w:val="clear" w:color="auto" w:fill="auto"/>
            <w:tcMar>
              <w:right w:w="58" w:type="dxa"/>
            </w:tcMar>
          </w:tcPr>
          <w:p w14:paraId="1CB091A4" w14:textId="6342ADB9" w:rsidR="0000593A" w:rsidRPr="00846EEE" w:rsidRDefault="0000593A" w:rsidP="0000593A">
            <w:pPr>
              <w:autoSpaceDE w:val="0"/>
              <w:autoSpaceDN w:val="0"/>
              <w:adjustRightInd w:val="0"/>
              <w:spacing w:after="0"/>
              <w:jc w:val="right"/>
              <w:rPr>
                <w:rFonts w:asciiTheme="minorHAnsi" w:hAnsiTheme="minorHAnsi" w:cstheme="minorHAnsi"/>
                <w:b/>
                <w:sz w:val="18"/>
                <w:szCs w:val="18"/>
              </w:rPr>
            </w:pPr>
          </w:p>
        </w:tc>
      </w:tr>
      <w:tr w:rsidR="0000593A" w:rsidRPr="00551D5A" w14:paraId="6862BF46" w14:textId="77777777" w:rsidTr="00997EF7">
        <w:trPr>
          <w:trHeight w:val="276"/>
        </w:trPr>
        <w:tc>
          <w:tcPr>
            <w:tcW w:w="2692" w:type="pct"/>
            <w:shd w:val="clear" w:color="auto" w:fill="auto"/>
            <w:vAlign w:val="bottom"/>
          </w:tcPr>
          <w:p w14:paraId="134252B2" w14:textId="77777777" w:rsidR="0000593A" w:rsidRPr="00846EEE" w:rsidRDefault="0000593A" w:rsidP="0000593A">
            <w:pPr>
              <w:suppressAutoHyphens/>
              <w:spacing w:after="0"/>
              <w:jc w:val="both"/>
              <w:rPr>
                <w:rFonts w:asciiTheme="minorHAnsi" w:hAnsiTheme="minorHAnsi" w:cstheme="minorHAnsi"/>
                <w:b/>
                <w:sz w:val="18"/>
                <w:szCs w:val="18"/>
              </w:rPr>
            </w:pPr>
            <w:r w:rsidRPr="00846EEE">
              <w:rPr>
                <w:rFonts w:asciiTheme="minorHAnsi" w:hAnsiTheme="minorHAnsi" w:cstheme="minorHAnsi"/>
                <w:bCs/>
                <w:sz w:val="18"/>
                <w:szCs w:val="18"/>
              </w:rPr>
              <w:t>Earnings per share</w:t>
            </w:r>
          </w:p>
        </w:tc>
        <w:tc>
          <w:tcPr>
            <w:tcW w:w="769" w:type="pct"/>
            <w:shd w:val="clear" w:color="auto" w:fill="auto"/>
            <w:vAlign w:val="center"/>
          </w:tcPr>
          <w:p w14:paraId="726B4423" w14:textId="77777777" w:rsidR="0000593A" w:rsidRPr="00997EF7" w:rsidRDefault="0000593A" w:rsidP="00997EF7">
            <w:pPr>
              <w:autoSpaceDE w:val="0"/>
              <w:autoSpaceDN w:val="0"/>
              <w:adjustRightInd w:val="0"/>
              <w:spacing w:after="0"/>
              <w:ind w:right="57"/>
              <w:jc w:val="right"/>
              <w:rPr>
                <w:rFonts w:asciiTheme="minorHAnsi" w:hAnsiTheme="minorHAnsi" w:cstheme="minorHAnsi"/>
                <w:color w:val="000000"/>
                <w:sz w:val="18"/>
                <w:szCs w:val="18"/>
              </w:rPr>
            </w:pPr>
            <w:r w:rsidRPr="00997EF7">
              <w:rPr>
                <w:rFonts w:asciiTheme="minorHAnsi" w:hAnsiTheme="minorHAnsi" w:cstheme="minorHAnsi"/>
                <w:color w:val="000000"/>
                <w:sz w:val="18"/>
                <w:szCs w:val="18"/>
              </w:rPr>
              <w:t> </w:t>
            </w:r>
          </w:p>
        </w:tc>
        <w:tc>
          <w:tcPr>
            <w:tcW w:w="769" w:type="pct"/>
            <w:vAlign w:val="center"/>
          </w:tcPr>
          <w:p w14:paraId="7FD9D201" w14:textId="3079352A" w:rsidR="0000593A" w:rsidRPr="00846EEE" w:rsidRDefault="0000593A" w:rsidP="00997EF7">
            <w:pPr>
              <w:autoSpaceDE w:val="0"/>
              <w:autoSpaceDN w:val="0"/>
              <w:adjustRightInd w:val="0"/>
              <w:spacing w:after="0"/>
              <w:ind w:right="57"/>
              <w:jc w:val="right"/>
              <w:rPr>
                <w:rFonts w:asciiTheme="minorHAnsi" w:hAnsiTheme="minorHAnsi" w:cstheme="minorHAnsi"/>
                <w:b/>
                <w:sz w:val="18"/>
                <w:szCs w:val="18"/>
              </w:rPr>
            </w:pPr>
            <w:r w:rsidRPr="00846EEE">
              <w:rPr>
                <w:rFonts w:asciiTheme="minorHAnsi" w:hAnsiTheme="minorHAnsi" w:cstheme="minorHAnsi"/>
                <w:sz w:val="18"/>
                <w:szCs w:val="18"/>
              </w:rPr>
              <w:t> </w:t>
            </w:r>
          </w:p>
        </w:tc>
        <w:tc>
          <w:tcPr>
            <w:tcW w:w="769" w:type="pct"/>
            <w:shd w:val="clear" w:color="auto" w:fill="auto"/>
            <w:tcMar>
              <w:right w:w="58" w:type="dxa"/>
            </w:tcMar>
          </w:tcPr>
          <w:p w14:paraId="1821EBE0" w14:textId="3DCD1635" w:rsidR="0000593A" w:rsidRPr="00846EEE" w:rsidRDefault="0000593A" w:rsidP="0000593A">
            <w:pPr>
              <w:autoSpaceDE w:val="0"/>
              <w:autoSpaceDN w:val="0"/>
              <w:adjustRightInd w:val="0"/>
              <w:spacing w:after="0"/>
              <w:jc w:val="right"/>
              <w:rPr>
                <w:rFonts w:asciiTheme="minorHAnsi" w:hAnsiTheme="minorHAnsi" w:cstheme="minorHAnsi"/>
                <w:b/>
                <w:sz w:val="18"/>
                <w:szCs w:val="18"/>
              </w:rPr>
            </w:pPr>
          </w:p>
        </w:tc>
      </w:tr>
      <w:tr w:rsidR="0000593A" w:rsidRPr="00551D5A" w14:paraId="5AFCB2BA" w14:textId="77777777" w:rsidTr="00997EF7">
        <w:trPr>
          <w:trHeight w:val="267"/>
        </w:trPr>
        <w:tc>
          <w:tcPr>
            <w:tcW w:w="2692" w:type="pct"/>
            <w:shd w:val="clear" w:color="auto" w:fill="auto"/>
            <w:vAlign w:val="bottom"/>
          </w:tcPr>
          <w:p w14:paraId="2F50C489" w14:textId="77777777" w:rsidR="0000593A" w:rsidRPr="00846EEE" w:rsidRDefault="0000593A" w:rsidP="0000593A">
            <w:pPr>
              <w:suppressAutoHyphens/>
              <w:spacing w:after="0"/>
              <w:jc w:val="both"/>
              <w:rPr>
                <w:rFonts w:asciiTheme="minorHAnsi" w:hAnsiTheme="minorHAnsi" w:cstheme="minorHAnsi"/>
                <w:b/>
                <w:sz w:val="18"/>
                <w:szCs w:val="18"/>
              </w:rPr>
            </w:pPr>
            <w:r w:rsidRPr="00846EEE">
              <w:rPr>
                <w:rFonts w:asciiTheme="minorHAnsi" w:hAnsiTheme="minorHAnsi" w:cstheme="minorHAnsi"/>
                <w:sz w:val="18"/>
                <w:szCs w:val="18"/>
              </w:rPr>
              <w:t>Basic</w:t>
            </w:r>
          </w:p>
        </w:tc>
        <w:tc>
          <w:tcPr>
            <w:tcW w:w="769" w:type="pct"/>
            <w:shd w:val="clear" w:color="auto" w:fill="auto"/>
            <w:vAlign w:val="center"/>
          </w:tcPr>
          <w:p w14:paraId="48908905" w14:textId="7EBEEE55" w:rsidR="0000593A" w:rsidRPr="00997EF7" w:rsidRDefault="00DD215A" w:rsidP="00997EF7">
            <w:pPr>
              <w:autoSpaceDE w:val="0"/>
              <w:autoSpaceDN w:val="0"/>
              <w:adjustRightInd w:val="0"/>
              <w:spacing w:after="0"/>
              <w:ind w:right="57"/>
              <w:jc w:val="right"/>
              <w:rPr>
                <w:rFonts w:asciiTheme="minorHAnsi" w:hAnsiTheme="minorHAnsi" w:cstheme="minorHAnsi"/>
                <w:color w:val="000000"/>
                <w:sz w:val="18"/>
                <w:szCs w:val="18"/>
              </w:rPr>
            </w:pPr>
            <w:r w:rsidRPr="00997EF7">
              <w:rPr>
                <w:rFonts w:asciiTheme="minorHAnsi" w:hAnsiTheme="minorHAnsi" w:cstheme="minorHAnsi"/>
                <w:color w:val="000000"/>
                <w:sz w:val="18"/>
                <w:szCs w:val="18"/>
              </w:rPr>
              <w:t>8.4</w:t>
            </w:r>
            <w:r w:rsidR="0000593A" w:rsidRPr="00997EF7">
              <w:rPr>
                <w:rFonts w:asciiTheme="minorHAnsi" w:hAnsiTheme="minorHAnsi" w:cstheme="minorHAnsi"/>
                <w:color w:val="000000"/>
                <w:sz w:val="18"/>
                <w:szCs w:val="18"/>
              </w:rPr>
              <w:t xml:space="preserve"> </w:t>
            </w:r>
          </w:p>
        </w:tc>
        <w:tc>
          <w:tcPr>
            <w:tcW w:w="769" w:type="pct"/>
            <w:vAlign w:val="center"/>
          </w:tcPr>
          <w:p w14:paraId="44ED61C8" w14:textId="13BEAA25" w:rsidR="0000593A" w:rsidRPr="00846EEE" w:rsidRDefault="0000593A" w:rsidP="00997EF7">
            <w:pPr>
              <w:autoSpaceDE w:val="0"/>
              <w:autoSpaceDN w:val="0"/>
              <w:adjustRightInd w:val="0"/>
              <w:spacing w:after="0"/>
              <w:ind w:right="57"/>
              <w:jc w:val="right"/>
              <w:rPr>
                <w:rFonts w:asciiTheme="minorHAnsi" w:hAnsiTheme="minorHAnsi" w:cstheme="minorHAnsi"/>
                <w:sz w:val="18"/>
                <w:szCs w:val="18"/>
              </w:rPr>
            </w:pPr>
            <w:r w:rsidRPr="00846EEE">
              <w:rPr>
                <w:rFonts w:asciiTheme="minorHAnsi" w:hAnsiTheme="minorHAnsi" w:cstheme="minorHAnsi"/>
                <w:sz w:val="18"/>
                <w:szCs w:val="18"/>
              </w:rPr>
              <w:t xml:space="preserve">          8.9 </w:t>
            </w:r>
          </w:p>
        </w:tc>
        <w:tc>
          <w:tcPr>
            <w:tcW w:w="769" w:type="pct"/>
            <w:shd w:val="clear" w:color="auto" w:fill="auto"/>
            <w:tcMar>
              <w:right w:w="58" w:type="dxa"/>
            </w:tcMar>
            <w:vAlign w:val="center"/>
          </w:tcPr>
          <w:p w14:paraId="6BE56911" w14:textId="185DB96D" w:rsidR="0000593A" w:rsidRPr="00846EEE" w:rsidRDefault="0000593A" w:rsidP="0000593A">
            <w:pPr>
              <w:autoSpaceDE w:val="0"/>
              <w:autoSpaceDN w:val="0"/>
              <w:adjustRightInd w:val="0"/>
              <w:spacing w:after="0"/>
              <w:jc w:val="right"/>
              <w:rPr>
                <w:rFonts w:asciiTheme="minorHAnsi" w:hAnsiTheme="minorHAnsi" w:cstheme="minorHAnsi"/>
                <w:b/>
                <w:sz w:val="18"/>
                <w:szCs w:val="18"/>
              </w:rPr>
            </w:pPr>
            <w:r w:rsidRPr="00846EEE">
              <w:rPr>
                <w:rFonts w:asciiTheme="minorHAnsi" w:hAnsiTheme="minorHAnsi" w:cstheme="minorHAnsi"/>
                <w:sz w:val="18"/>
                <w:szCs w:val="18"/>
              </w:rPr>
              <w:t xml:space="preserve">          14.3 </w:t>
            </w:r>
          </w:p>
        </w:tc>
      </w:tr>
      <w:tr w:rsidR="0000593A" w:rsidRPr="00551D5A" w14:paraId="033A9ABD" w14:textId="77777777" w:rsidTr="00997EF7">
        <w:trPr>
          <w:trHeight w:val="276"/>
        </w:trPr>
        <w:tc>
          <w:tcPr>
            <w:tcW w:w="2692" w:type="pct"/>
            <w:tcBorders>
              <w:bottom w:val="single" w:sz="12" w:space="0" w:color="000000" w:themeColor="text1"/>
            </w:tcBorders>
            <w:shd w:val="clear" w:color="auto" w:fill="auto"/>
            <w:vAlign w:val="bottom"/>
          </w:tcPr>
          <w:p w14:paraId="2B6165A9" w14:textId="77777777" w:rsidR="0000593A" w:rsidRPr="00846EEE" w:rsidRDefault="0000593A" w:rsidP="0000593A">
            <w:pPr>
              <w:suppressAutoHyphens/>
              <w:spacing w:after="0"/>
              <w:jc w:val="both"/>
              <w:rPr>
                <w:rFonts w:asciiTheme="minorHAnsi" w:hAnsiTheme="minorHAnsi" w:cstheme="minorHAnsi"/>
                <w:b/>
                <w:sz w:val="18"/>
                <w:szCs w:val="18"/>
              </w:rPr>
            </w:pPr>
            <w:r w:rsidRPr="00846EEE">
              <w:rPr>
                <w:rFonts w:asciiTheme="minorHAnsi" w:hAnsiTheme="minorHAnsi" w:cstheme="minorHAnsi"/>
                <w:sz w:val="18"/>
                <w:szCs w:val="18"/>
              </w:rPr>
              <w:t>Diluted</w:t>
            </w:r>
          </w:p>
        </w:tc>
        <w:tc>
          <w:tcPr>
            <w:tcW w:w="769" w:type="pct"/>
            <w:tcBorders>
              <w:bottom w:val="single" w:sz="12" w:space="0" w:color="000000" w:themeColor="text1"/>
            </w:tcBorders>
            <w:shd w:val="clear" w:color="auto" w:fill="auto"/>
            <w:vAlign w:val="center"/>
          </w:tcPr>
          <w:p w14:paraId="5285C0F0" w14:textId="7DCA1D46" w:rsidR="0000593A" w:rsidRPr="00997EF7" w:rsidRDefault="0000593A" w:rsidP="00997EF7">
            <w:pPr>
              <w:autoSpaceDE w:val="0"/>
              <w:autoSpaceDN w:val="0"/>
              <w:adjustRightInd w:val="0"/>
              <w:spacing w:after="0"/>
              <w:ind w:right="57"/>
              <w:jc w:val="right"/>
              <w:rPr>
                <w:rFonts w:asciiTheme="minorHAnsi" w:hAnsiTheme="minorHAnsi" w:cstheme="minorHAnsi"/>
                <w:color w:val="000000"/>
                <w:sz w:val="18"/>
                <w:szCs w:val="18"/>
              </w:rPr>
            </w:pPr>
            <w:r w:rsidRPr="00997EF7">
              <w:rPr>
                <w:rFonts w:asciiTheme="minorHAnsi" w:hAnsiTheme="minorHAnsi" w:cstheme="minorHAnsi"/>
                <w:color w:val="000000"/>
                <w:sz w:val="18"/>
                <w:szCs w:val="18"/>
              </w:rPr>
              <w:t xml:space="preserve">           </w:t>
            </w:r>
            <w:r w:rsidR="00DD215A" w:rsidRPr="00997EF7">
              <w:rPr>
                <w:rFonts w:asciiTheme="minorHAnsi" w:hAnsiTheme="minorHAnsi" w:cstheme="minorHAnsi"/>
                <w:color w:val="000000"/>
                <w:sz w:val="18"/>
                <w:szCs w:val="18"/>
              </w:rPr>
              <w:t>8.3</w:t>
            </w:r>
            <w:r w:rsidRPr="00997EF7">
              <w:rPr>
                <w:rFonts w:asciiTheme="minorHAnsi" w:hAnsiTheme="minorHAnsi" w:cstheme="minorHAnsi"/>
                <w:color w:val="000000"/>
                <w:sz w:val="18"/>
                <w:szCs w:val="18"/>
              </w:rPr>
              <w:t xml:space="preserve"> </w:t>
            </w:r>
          </w:p>
        </w:tc>
        <w:tc>
          <w:tcPr>
            <w:tcW w:w="769" w:type="pct"/>
            <w:tcBorders>
              <w:bottom w:val="single" w:sz="12" w:space="0" w:color="000000" w:themeColor="text1"/>
            </w:tcBorders>
            <w:vAlign w:val="center"/>
          </w:tcPr>
          <w:p w14:paraId="1314AA19" w14:textId="277C69CD" w:rsidR="0000593A" w:rsidRPr="00846EEE" w:rsidRDefault="0000593A" w:rsidP="00997EF7">
            <w:pPr>
              <w:autoSpaceDE w:val="0"/>
              <w:autoSpaceDN w:val="0"/>
              <w:adjustRightInd w:val="0"/>
              <w:spacing w:after="0"/>
              <w:ind w:right="57"/>
              <w:jc w:val="right"/>
              <w:rPr>
                <w:rFonts w:asciiTheme="minorHAnsi" w:hAnsiTheme="minorHAnsi" w:cstheme="minorHAnsi"/>
                <w:sz w:val="18"/>
                <w:szCs w:val="18"/>
              </w:rPr>
            </w:pPr>
            <w:r w:rsidRPr="00846EEE">
              <w:rPr>
                <w:rFonts w:asciiTheme="minorHAnsi" w:hAnsiTheme="minorHAnsi" w:cstheme="minorHAnsi"/>
                <w:sz w:val="18"/>
                <w:szCs w:val="18"/>
              </w:rPr>
              <w:t xml:space="preserve">           8.5</w:t>
            </w:r>
          </w:p>
        </w:tc>
        <w:tc>
          <w:tcPr>
            <w:tcW w:w="769" w:type="pct"/>
            <w:tcBorders>
              <w:bottom w:val="single" w:sz="12" w:space="0" w:color="000000" w:themeColor="text1"/>
            </w:tcBorders>
            <w:shd w:val="clear" w:color="auto" w:fill="auto"/>
            <w:tcMar>
              <w:right w:w="58" w:type="dxa"/>
            </w:tcMar>
            <w:vAlign w:val="center"/>
          </w:tcPr>
          <w:p w14:paraId="70478808" w14:textId="1F3CA3A5" w:rsidR="0000593A" w:rsidRPr="00846EEE" w:rsidRDefault="0000593A" w:rsidP="0000593A">
            <w:pPr>
              <w:autoSpaceDE w:val="0"/>
              <w:autoSpaceDN w:val="0"/>
              <w:adjustRightInd w:val="0"/>
              <w:spacing w:after="0"/>
              <w:jc w:val="right"/>
              <w:rPr>
                <w:rFonts w:asciiTheme="minorHAnsi" w:hAnsiTheme="minorHAnsi" w:cstheme="minorHAnsi"/>
                <w:b/>
                <w:sz w:val="18"/>
                <w:szCs w:val="18"/>
              </w:rPr>
            </w:pPr>
            <w:r w:rsidRPr="00846EEE">
              <w:rPr>
                <w:rFonts w:asciiTheme="minorHAnsi" w:hAnsiTheme="minorHAnsi" w:cstheme="minorHAnsi"/>
                <w:sz w:val="18"/>
                <w:szCs w:val="18"/>
              </w:rPr>
              <w:t xml:space="preserve">           13.9 </w:t>
            </w:r>
          </w:p>
        </w:tc>
      </w:tr>
    </w:tbl>
    <w:p w14:paraId="7A4EF3A3" w14:textId="77777777" w:rsidR="00CC7A30" w:rsidRPr="00846EEE" w:rsidRDefault="00CC7A30" w:rsidP="00CC7A30">
      <w:pPr>
        <w:suppressAutoHyphens/>
        <w:spacing w:after="0"/>
        <w:jc w:val="both"/>
        <w:rPr>
          <w:rFonts w:asciiTheme="minorHAnsi" w:hAnsiTheme="minorHAnsi" w:cstheme="minorHAnsi"/>
          <w:b/>
          <w:sz w:val="18"/>
          <w:szCs w:val="18"/>
        </w:rPr>
      </w:pPr>
    </w:p>
    <w:p w14:paraId="41E5B026" w14:textId="77777777" w:rsidR="00CC7A30" w:rsidRPr="00846EEE" w:rsidRDefault="00CC7A30" w:rsidP="00CC7A30">
      <w:pPr>
        <w:suppressAutoHyphens/>
        <w:spacing w:after="0"/>
        <w:jc w:val="both"/>
        <w:rPr>
          <w:rFonts w:asciiTheme="minorHAnsi" w:hAnsiTheme="minorHAnsi" w:cstheme="minorHAnsi"/>
          <w:b/>
          <w:sz w:val="18"/>
          <w:szCs w:val="18"/>
        </w:rPr>
      </w:pPr>
    </w:p>
    <w:p w14:paraId="23A37CFF" w14:textId="77777777" w:rsidR="00CC7A30" w:rsidRPr="00846EEE" w:rsidRDefault="00CC7A30" w:rsidP="00CC7A30">
      <w:pPr>
        <w:suppressAutoHyphens/>
        <w:spacing w:after="0"/>
        <w:jc w:val="both"/>
        <w:rPr>
          <w:rFonts w:asciiTheme="minorHAnsi" w:hAnsiTheme="minorHAnsi" w:cstheme="minorHAnsi"/>
          <w:b/>
          <w:sz w:val="18"/>
          <w:szCs w:val="18"/>
        </w:rPr>
      </w:pPr>
      <w:r w:rsidRPr="00846EEE">
        <w:rPr>
          <w:rFonts w:asciiTheme="minorHAnsi" w:hAnsiTheme="minorHAnsi" w:cstheme="minorHAnsi"/>
          <w:b/>
          <w:sz w:val="18"/>
          <w:szCs w:val="18"/>
        </w:rPr>
        <w:t>Consolidated Statement of Comprehensive Income</w:t>
      </w:r>
    </w:p>
    <w:p w14:paraId="2A6095DA" w14:textId="17BED1F9" w:rsidR="0000593A" w:rsidRPr="00846EEE" w:rsidRDefault="0000593A" w:rsidP="0000593A">
      <w:pPr>
        <w:suppressAutoHyphens/>
        <w:spacing w:after="0"/>
        <w:jc w:val="both"/>
        <w:rPr>
          <w:rFonts w:asciiTheme="minorHAnsi" w:hAnsiTheme="minorHAnsi" w:cstheme="minorHAnsi"/>
          <w:b/>
          <w:sz w:val="18"/>
          <w:szCs w:val="18"/>
        </w:rPr>
      </w:pPr>
    </w:p>
    <w:tbl>
      <w:tblPr>
        <w:tblW w:w="5108" w:type="pct"/>
        <w:tblBorders>
          <w:top w:val="single" w:sz="8" w:space="0" w:color="4F81BD"/>
          <w:bottom w:val="single" w:sz="8" w:space="0" w:color="4F81BD"/>
        </w:tblBorders>
        <w:tblLayout w:type="fixed"/>
        <w:tblLook w:val="0660" w:firstRow="1" w:lastRow="1" w:firstColumn="0" w:lastColumn="0" w:noHBand="1" w:noVBand="1"/>
      </w:tblPr>
      <w:tblGrid>
        <w:gridCol w:w="4963"/>
        <w:gridCol w:w="1417"/>
        <w:gridCol w:w="1417"/>
        <w:gridCol w:w="1418"/>
      </w:tblGrid>
      <w:tr w:rsidR="0000593A" w:rsidRPr="00551D5A" w14:paraId="401B65A2" w14:textId="77777777" w:rsidTr="00997EF7">
        <w:trPr>
          <w:trHeight w:val="301"/>
        </w:trPr>
        <w:tc>
          <w:tcPr>
            <w:tcW w:w="4963" w:type="dxa"/>
            <w:tcBorders>
              <w:top w:val="nil"/>
              <w:left w:val="nil"/>
              <w:bottom w:val="nil"/>
              <w:right w:val="nil"/>
            </w:tcBorders>
            <w:shd w:val="clear" w:color="auto" w:fill="auto"/>
          </w:tcPr>
          <w:p w14:paraId="3D87E475" w14:textId="77777777" w:rsidR="0000593A" w:rsidRPr="00551D5A" w:rsidRDefault="0000593A" w:rsidP="0000593A">
            <w:pPr>
              <w:pStyle w:val="TableBody"/>
              <w:spacing w:line="240" w:lineRule="auto"/>
              <w:ind w:left="255" w:right="0" w:hanging="255"/>
              <w:jc w:val="both"/>
              <w:rPr>
                <w:rFonts w:asciiTheme="minorHAnsi" w:eastAsia="Times New Roman" w:hAnsiTheme="minorHAnsi" w:cstheme="minorHAnsi"/>
                <w:color w:val="auto"/>
                <w:sz w:val="18"/>
                <w:szCs w:val="18"/>
                <w:lang w:val="en-US" w:eastAsia="en-US" w:bidi="en-US"/>
              </w:rPr>
            </w:pPr>
          </w:p>
        </w:tc>
        <w:tc>
          <w:tcPr>
            <w:tcW w:w="1417" w:type="dxa"/>
            <w:tcBorders>
              <w:top w:val="nil"/>
              <w:left w:val="nil"/>
              <w:bottom w:val="nil"/>
              <w:right w:val="nil"/>
            </w:tcBorders>
            <w:shd w:val="clear" w:color="auto" w:fill="auto"/>
            <w:vAlign w:val="bottom"/>
          </w:tcPr>
          <w:p w14:paraId="4393BBF5" w14:textId="77777777" w:rsidR="00C02345" w:rsidRDefault="0000593A" w:rsidP="00C02345">
            <w:pPr>
              <w:suppressAutoHyphens/>
              <w:spacing w:after="0"/>
              <w:ind w:right="-57"/>
              <w:jc w:val="right"/>
              <w:rPr>
                <w:rFonts w:asciiTheme="minorHAnsi" w:hAnsiTheme="minorHAnsi" w:cstheme="minorHAnsi"/>
                <w:b/>
                <w:sz w:val="18"/>
                <w:szCs w:val="18"/>
              </w:rPr>
            </w:pPr>
            <w:r w:rsidRPr="00997EF7">
              <w:rPr>
                <w:rFonts w:asciiTheme="minorHAnsi" w:hAnsiTheme="minorHAnsi" w:cstheme="minorHAnsi"/>
                <w:b/>
                <w:sz w:val="18"/>
                <w:szCs w:val="18"/>
              </w:rPr>
              <w:t xml:space="preserve">Unaudited </w:t>
            </w:r>
          </w:p>
          <w:p w14:paraId="35FAC80C" w14:textId="023D8ABF" w:rsidR="0000593A" w:rsidRPr="00997EF7" w:rsidRDefault="0000593A" w:rsidP="00997EF7">
            <w:pPr>
              <w:suppressAutoHyphens/>
              <w:spacing w:after="0"/>
              <w:ind w:right="-57"/>
              <w:jc w:val="right"/>
              <w:rPr>
                <w:rFonts w:asciiTheme="minorHAnsi" w:hAnsiTheme="minorHAnsi" w:cstheme="minorHAnsi"/>
                <w:b/>
                <w:sz w:val="18"/>
                <w:szCs w:val="18"/>
              </w:rPr>
            </w:pPr>
            <w:r w:rsidRPr="00997EF7">
              <w:rPr>
                <w:rFonts w:asciiTheme="minorHAnsi" w:hAnsiTheme="minorHAnsi" w:cstheme="minorHAnsi"/>
                <w:b/>
                <w:sz w:val="18"/>
                <w:szCs w:val="18"/>
              </w:rPr>
              <w:t>6 months ended 31 January</w:t>
            </w:r>
            <w:r w:rsidR="00C02345">
              <w:rPr>
                <w:rFonts w:asciiTheme="minorHAnsi" w:hAnsiTheme="minorHAnsi" w:cstheme="minorHAnsi"/>
                <w:b/>
                <w:sz w:val="18"/>
                <w:szCs w:val="18"/>
              </w:rPr>
              <w:t xml:space="preserve"> </w:t>
            </w:r>
            <w:r w:rsidRPr="00997EF7">
              <w:rPr>
                <w:rFonts w:asciiTheme="minorHAnsi" w:hAnsiTheme="minorHAnsi" w:cstheme="minorHAnsi"/>
                <w:b/>
                <w:sz w:val="18"/>
                <w:szCs w:val="18"/>
              </w:rPr>
              <w:t>2023</w:t>
            </w:r>
          </w:p>
        </w:tc>
        <w:tc>
          <w:tcPr>
            <w:tcW w:w="1417" w:type="dxa"/>
            <w:tcBorders>
              <w:top w:val="nil"/>
              <w:left w:val="nil"/>
              <w:bottom w:val="nil"/>
              <w:right w:val="nil"/>
            </w:tcBorders>
            <w:vAlign w:val="bottom"/>
          </w:tcPr>
          <w:p w14:paraId="187A2BC4" w14:textId="77777777" w:rsidR="00C02345" w:rsidRDefault="00C02345" w:rsidP="00997EF7">
            <w:pPr>
              <w:suppressAutoHyphens/>
              <w:spacing w:after="0"/>
              <w:ind w:right="-57"/>
              <w:jc w:val="right"/>
              <w:rPr>
                <w:rFonts w:asciiTheme="minorHAnsi" w:hAnsiTheme="minorHAnsi" w:cstheme="minorHAnsi"/>
                <w:sz w:val="18"/>
                <w:szCs w:val="18"/>
              </w:rPr>
            </w:pPr>
            <w:r w:rsidRPr="00846EEE">
              <w:rPr>
                <w:rFonts w:asciiTheme="minorHAnsi" w:hAnsiTheme="minorHAnsi" w:cstheme="minorHAnsi"/>
                <w:sz w:val="18"/>
                <w:szCs w:val="18"/>
              </w:rPr>
              <w:t xml:space="preserve">Unaudited </w:t>
            </w:r>
          </w:p>
          <w:p w14:paraId="21EDBEF1" w14:textId="3112A8C1" w:rsidR="00C02345" w:rsidRDefault="00C02345" w:rsidP="00997EF7">
            <w:pPr>
              <w:suppressAutoHyphens/>
              <w:spacing w:after="0"/>
              <w:ind w:right="-57"/>
              <w:jc w:val="right"/>
              <w:rPr>
                <w:rFonts w:asciiTheme="minorHAnsi" w:hAnsiTheme="minorHAnsi" w:cstheme="minorHAnsi"/>
                <w:sz w:val="18"/>
                <w:szCs w:val="18"/>
              </w:rPr>
            </w:pPr>
            <w:r w:rsidRPr="00846EEE">
              <w:rPr>
                <w:rFonts w:asciiTheme="minorHAnsi" w:hAnsiTheme="minorHAnsi" w:cstheme="minorHAnsi"/>
                <w:sz w:val="18"/>
                <w:szCs w:val="18"/>
              </w:rPr>
              <w:t xml:space="preserve">6 months </w:t>
            </w:r>
            <w:proofErr w:type="gramStart"/>
            <w:r>
              <w:rPr>
                <w:rFonts w:asciiTheme="minorHAnsi" w:hAnsiTheme="minorHAnsi" w:cstheme="minorHAnsi"/>
                <w:sz w:val="18"/>
                <w:szCs w:val="18"/>
              </w:rPr>
              <w:t>e</w:t>
            </w:r>
            <w:r w:rsidRPr="00846EEE">
              <w:rPr>
                <w:rFonts w:asciiTheme="minorHAnsi" w:hAnsiTheme="minorHAnsi" w:cstheme="minorHAnsi"/>
                <w:sz w:val="18"/>
                <w:szCs w:val="18"/>
              </w:rPr>
              <w:t>nded</w:t>
            </w:r>
            <w:proofErr w:type="gramEnd"/>
            <w:r w:rsidRPr="00846EEE">
              <w:rPr>
                <w:rFonts w:asciiTheme="minorHAnsi" w:hAnsiTheme="minorHAnsi" w:cstheme="minorHAnsi"/>
                <w:sz w:val="18"/>
                <w:szCs w:val="18"/>
              </w:rPr>
              <w:t xml:space="preserve"> </w:t>
            </w:r>
          </w:p>
          <w:p w14:paraId="129E67B5" w14:textId="0E0060A3" w:rsidR="0000593A" w:rsidRPr="00846EEE" w:rsidRDefault="00C02345" w:rsidP="00997EF7">
            <w:pPr>
              <w:suppressAutoHyphens/>
              <w:spacing w:after="0"/>
              <w:ind w:right="-57"/>
              <w:jc w:val="right"/>
              <w:rPr>
                <w:rFonts w:asciiTheme="minorHAnsi" w:hAnsiTheme="minorHAnsi" w:cstheme="minorHAnsi"/>
                <w:sz w:val="18"/>
                <w:szCs w:val="18"/>
              </w:rPr>
            </w:pPr>
            <w:r w:rsidRPr="00846EEE">
              <w:rPr>
                <w:rFonts w:asciiTheme="minorHAnsi" w:hAnsiTheme="minorHAnsi" w:cstheme="minorHAnsi"/>
                <w:sz w:val="18"/>
                <w:szCs w:val="18"/>
              </w:rPr>
              <w:t>31 January 2022</w:t>
            </w:r>
          </w:p>
        </w:tc>
        <w:tc>
          <w:tcPr>
            <w:tcW w:w="1418" w:type="dxa"/>
            <w:tcBorders>
              <w:top w:val="nil"/>
              <w:left w:val="nil"/>
              <w:bottom w:val="nil"/>
              <w:right w:val="nil"/>
            </w:tcBorders>
            <w:shd w:val="clear" w:color="auto" w:fill="auto"/>
            <w:vAlign w:val="bottom"/>
          </w:tcPr>
          <w:p w14:paraId="1D1E6A36" w14:textId="77777777" w:rsidR="00C02345" w:rsidRDefault="0000593A" w:rsidP="00997EF7">
            <w:pPr>
              <w:suppressAutoHyphens/>
              <w:spacing w:after="0"/>
              <w:ind w:right="-57"/>
              <w:jc w:val="right"/>
              <w:rPr>
                <w:rFonts w:asciiTheme="minorHAnsi" w:hAnsiTheme="minorHAnsi" w:cstheme="minorHAnsi"/>
                <w:sz w:val="18"/>
                <w:szCs w:val="18"/>
              </w:rPr>
            </w:pPr>
            <w:r w:rsidRPr="00846EEE">
              <w:rPr>
                <w:rFonts w:asciiTheme="minorHAnsi" w:hAnsiTheme="minorHAnsi" w:cstheme="minorHAnsi"/>
                <w:sz w:val="18"/>
                <w:szCs w:val="18"/>
              </w:rPr>
              <w:t xml:space="preserve">Audited </w:t>
            </w:r>
          </w:p>
          <w:p w14:paraId="70F81CFA" w14:textId="57EC3E49" w:rsidR="00C02345" w:rsidRDefault="0000593A" w:rsidP="00997EF7">
            <w:pPr>
              <w:suppressAutoHyphens/>
              <w:spacing w:after="0"/>
              <w:ind w:right="-57"/>
              <w:jc w:val="right"/>
              <w:rPr>
                <w:rFonts w:asciiTheme="minorHAnsi" w:hAnsiTheme="minorHAnsi" w:cstheme="minorHAnsi"/>
                <w:sz w:val="18"/>
                <w:szCs w:val="18"/>
              </w:rPr>
            </w:pPr>
            <w:r w:rsidRPr="00846EEE">
              <w:rPr>
                <w:rFonts w:asciiTheme="minorHAnsi" w:hAnsiTheme="minorHAnsi" w:cstheme="minorHAnsi"/>
                <w:sz w:val="18"/>
                <w:szCs w:val="18"/>
              </w:rPr>
              <w:t xml:space="preserve">year </w:t>
            </w:r>
            <w:proofErr w:type="gramStart"/>
            <w:r w:rsidRPr="00846EEE">
              <w:rPr>
                <w:rFonts w:asciiTheme="minorHAnsi" w:hAnsiTheme="minorHAnsi" w:cstheme="minorHAnsi"/>
                <w:sz w:val="18"/>
                <w:szCs w:val="18"/>
              </w:rPr>
              <w:t>ended</w:t>
            </w:r>
            <w:proofErr w:type="gramEnd"/>
            <w:r w:rsidRPr="00846EEE">
              <w:rPr>
                <w:rFonts w:asciiTheme="minorHAnsi" w:hAnsiTheme="minorHAnsi" w:cstheme="minorHAnsi"/>
                <w:sz w:val="18"/>
                <w:szCs w:val="18"/>
              </w:rPr>
              <w:t xml:space="preserve"> </w:t>
            </w:r>
          </w:p>
          <w:p w14:paraId="5B6EAE23" w14:textId="3066C09D" w:rsidR="0000593A" w:rsidRPr="00846EEE" w:rsidRDefault="0000593A" w:rsidP="00997EF7">
            <w:pPr>
              <w:suppressAutoHyphens/>
              <w:spacing w:after="0"/>
              <w:ind w:right="-57"/>
              <w:jc w:val="right"/>
              <w:rPr>
                <w:rFonts w:asciiTheme="minorHAnsi" w:hAnsiTheme="minorHAnsi" w:cstheme="minorHAnsi"/>
                <w:sz w:val="18"/>
                <w:szCs w:val="18"/>
              </w:rPr>
            </w:pPr>
            <w:r w:rsidRPr="00846EEE">
              <w:rPr>
                <w:rFonts w:asciiTheme="minorHAnsi" w:hAnsiTheme="minorHAnsi" w:cstheme="minorHAnsi"/>
                <w:sz w:val="18"/>
                <w:szCs w:val="18"/>
              </w:rPr>
              <w:t>31 July 2022</w:t>
            </w:r>
          </w:p>
        </w:tc>
      </w:tr>
      <w:tr w:rsidR="00C02345" w:rsidRPr="00551D5A" w14:paraId="355D1D16" w14:textId="77777777" w:rsidTr="00997EF7">
        <w:trPr>
          <w:trHeight w:val="121"/>
        </w:trPr>
        <w:tc>
          <w:tcPr>
            <w:tcW w:w="4963" w:type="dxa"/>
            <w:tcBorders>
              <w:top w:val="nil"/>
              <w:left w:val="nil"/>
              <w:bottom w:val="single" w:sz="4" w:space="0" w:color="auto"/>
              <w:right w:val="nil"/>
            </w:tcBorders>
            <w:shd w:val="clear" w:color="auto" w:fill="auto"/>
          </w:tcPr>
          <w:p w14:paraId="40994E1B" w14:textId="77777777" w:rsidR="00C02345" w:rsidRPr="00551D5A" w:rsidRDefault="00C02345" w:rsidP="00997EF7">
            <w:pPr>
              <w:pStyle w:val="TableBody"/>
              <w:spacing w:line="240" w:lineRule="auto"/>
              <w:ind w:left="0" w:right="0"/>
              <w:jc w:val="both"/>
              <w:rPr>
                <w:rFonts w:asciiTheme="minorHAnsi" w:eastAsia="Times New Roman" w:hAnsiTheme="minorHAnsi" w:cstheme="minorHAnsi"/>
                <w:color w:val="auto"/>
                <w:sz w:val="18"/>
                <w:szCs w:val="18"/>
                <w:lang w:val="en-US" w:eastAsia="en-US" w:bidi="en-US"/>
              </w:rPr>
            </w:pPr>
          </w:p>
        </w:tc>
        <w:tc>
          <w:tcPr>
            <w:tcW w:w="1417" w:type="dxa"/>
            <w:tcBorders>
              <w:top w:val="nil"/>
              <w:left w:val="nil"/>
              <w:bottom w:val="single" w:sz="4" w:space="0" w:color="auto"/>
              <w:right w:val="nil"/>
            </w:tcBorders>
            <w:shd w:val="clear" w:color="auto" w:fill="auto"/>
            <w:vAlign w:val="bottom"/>
          </w:tcPr>
          <w:p w14:paraId="54562C96" w14:textId="3D14B787" w:rsidR="00C02345" w:rsidRPr="00C02345" w:rsidRDefault="00C02345" w:rsidP="00C02345">
            <w:pPr>
              <w:suppressAutoHyphens/>
              <w:spacing w:after="0"/>
              <w:ind w:right="-57"/>
              <w:jc w:val="right"/>
              <w:rPr>
                <w:rFonts w:asciiTheme="minorHAnsi" w:hAnsiTheme="minorHAnsi" w:cstheme="minorHAnsi"/>
                <w:b/>
                <w:sz w:val="18"/>
                <w:szCs w:val="18"/>
              </w:rPr>
            </w:pPr>
            <w:r w:rsidRPr="00846EEE">
              <w:rPr>
                <w:rFonts w:asciiTheme="minorHAnsi" w:hAnsiTheme="minorHAnsi" w:cstheme="minorHAnsi"/>
                <w:b/>
                <w:bCs/>
                <w:sz w:val="18"/>
                <w:szCs w:val="18"/>
              </w:rPr>
              <w:t>£’000</w:t>
            </w:r>
          </w:p>
        </w:tc>
        <w:tc>
          <w:tcPr>
            <w:tcW w:w="1417" w:type="dxa"/>
            <w:tcBorders>
              <w:top w:val="nil"/>
              <w:left w:val="nil"/>
              <w:bottom w:val="single" w:sz="4" w:space="0" w:color="auto"/>
              <w:right w:val="nil"/>
            </w:tcBorders>
            <w:vAlign w:val="bottom"/>
          </w:tcPr>
          <w:p w14:paraId="08F95AFA" w14:textId="5ED17954" w:rsidR="00C02345" w:rsidRPr="00846EEE" w:rsidRDefault="00C02345" w:rsidP="00997EF7">
            <w:pPr>
              <w:suppressAutoHyphens/>
              <w:spacing w:after="0"/>
              <w:ind w:right="-57"/>
              <w:jc w:val="right"/>
              <w:rPr>
                <w:rFonts w:asciiTheme="minorHAnsi" w:hAnsiTheme="minorHAnsi" w:cstheme="minorHAnsi"/>
                <w:sz w:val="18"/>
                <w:szCs w:val="18"/>
              </w:rPr>
            </w:pPr>
            <w:r w:rsidRPr="00846EEE">
              <w:rPr>
                <w:rFonts w:asciiTheme="minorHAnsi" w:hAnsiTheme="minorHAnsi" w:cstheme="minorHAnsi"/>
                <w:sz w:val="18"/>
                <w:szCs w:val="18"/>
              </w:rPr>
              <w:t>£’000</w:t>
            </w:r>
          </w:p>
        </w:tc>
        <w:tc>
          <w:tcPr>
            <w:tcW w:w="1418" w:type="dxa"/>
            <w:tcBorders>
              <w:top w:val="nil"/>
              <w:left w:val="nil"/>
              <w:bottom w:val="single" w:sz="4" w:space="0" w:color="auto"/>
              <w:right w:val="nil"/>
            </w:tcBorders>
            <w:shd w:val="clear" w:color="auto" w:fill="auto"/>
            <w:vAlign w:val="bottom"/>
          </w:tcPr>
          <w:p w14:paraId="6123CC2F" w14:textId="252869B4" w:rsidR="00C02345" w:rsidRPr="00846EEE" w:rsidRDefault="00C02345" w:rsidP="00997EF7">
            <w:pPr>
              <w:suppressAutoHyphens/>
              <w:spacing w:after="0"/>
              <w:ind w:right="-57"/>
              <w:jc w:val="right"/>
              <w:rPr>
                <w:rFonts w:asciiTheme="minorHAnsi" w:hAnsiTheme="minorHAnsi" w:cstheme="minorHAnsi"/>
                <w:sz w:val="18"/>
                <w:szCs w:val="18"/>
              </w:rPr>
            </w:pPr>
            <w:r w:rsidRPr="00846EEE">
              <w:rPr>
                <w:rFonts w:asciiTheme="minorHAnsi" w:hAnsiTheme="minorHAnsi" w:cstheme="minorHAnsi"/>
                <w:sz w:val="18"/>
                <w:szCs w:val="18"/>
              </w:rPr>
              <w:t>£’000</w:t>
            </w:r>
          </w:p>
        </w:tc>
      </w:tr>
      <w:tr w:rsidR="0000593A" w:rsidRPr="00551D5A" w14:paraId="55809026" w14:textId="77777777" w:rsidTr="00997EF7">
        <w:trPr>
          <w:trHeight w:val="189"/>
        </w:trPr>
        <w:tc>
          <w:tcPr>
            <w:tcW w:w="4963" w:type="dxa"/>
            <w:tcBorders>
              <w:top w:val="single" w:sz="4" w:space="0" w:color="auto"/>
              <w:bottom w:val="nil"/>
            </w:tcBorders>
            <w:shd w:val="clear" w:color="auto" w:fill="auto"/>
          </w:tcPr>
          <w:p w14:paraId="7616C76C" w14:textId="3395F091" w:rsidR="0000593A" w:rsidRPr="00551D5A" w:rsidRDefault="0000593A" w:rsidP="00997EF7">
            <w:pPr>
              <w:pStyle w:val="TableBody"/>
              <w:spacing w:line="240" w:lineRule="auto"/>
              <w:ind w:left="0" w:right="0" w:hanging="105"/>
              <w:jc w:val="left"/>
              <w:rPr>
                <w:rFonts w:asciiTheme="minorHAnsi" w:eastAsia="Times New Roman" w:hAnsiTheme="minorHAnsi" w:cstheme="minorHAnsi"/>
                <w:b/>
                <w:color w:val="auto"/>
                <w:sz w:val="18"/>
                <w:szCs w:val="18"/>
                <w:lang w:val="en-US" w:eastAsia="en-US" w:bidi="en-US"/>
              </w:rPr>
            </w:pPr>
            <w:r w:rsidRPr="00551D5A">
              <w:rPr>
                <w:rFonts w:asciiTheme="minorHAnsi" w:eastAsia="Times New Roman" w:hAnsiTheme="minorHAnsi" w:cstheme="minorHAnsi"/>
                <w:b/>
                <w:color w:val="auto"/>
                <w:sz w:val="18"/>
                <w:szCs w:val="18"/>
                <w:lang w:val="en-US" w:eastAsia="en-US" w:bidi="en-US"/>
              </w:rPr>
              <w:t xml:space="preserve">Profit for the </w:t>
            </w:r>
            <w:r w:rsidR="001373B6" w:rsidRPr="00551D5A">
              <w:rPr>
                <w:rFonts w:asciiTheme="minorHAnsi" w:eastAsia="Times New Roman" w:hAnsiTheme="minorHAnsi" w:cstheme="minorHAnsi"/>
                <w:b/>
                <w:color w:val="auto"/>
                <w:sz w:val="18"/>
                <w:szCs w:val="18"/>
                <w:lang w:val="en-US" w:eastAsia="en-US" w:bidi="en-US"/>
              </w:rPr>
              <w:t>period</w:t>
            </w:r>
          </w:p>
        </w:tc>
        <w:tc>
          <w:tcPr>
            <w:tcW w:w="1417" w:type="dxa"/>
            <w:tcBorders>
              <w:top w:val="single" w:sz="4" w:space="0" w:color="auto"/>
              <w:bottom w:val="nil"/>
            </w:tcBorders>
            <w:shd w:val="clear" w:color="auto" w:fill="auto"/>
          </w:tcPr>
          <w:p w14:paraId="62ED76B0" w14:textId="3F4AA78B" w:rsidR="0000593A" w:rsidRPr="00551D5A" w:rsidRDefault="00E37CE5" w:rsidP="0000593A">
            <w:pPr>
              <w:pStyle w:val="TableBody"/>
              <w:spacing w:line="240" w:lineRule="auto"/>
              <w:ind w:left="0"/>
              <w:jc w:val="right"/>
              <w:rPr>
                <w:rFonts w:asciiTheme="minorHAnsi" w:eastAsia="Times New Roman" w:hAnsiTheme="minorHAnsi" w:cstheme="minorHAnsi"/>
                <w:bCs/>
                <w:color w:val="auto"/>
                <w:sz w:val="18"/>
                <w:szCs w:val="18"/>
                <w:lang w:val="en-US" w:eastAsia="en-US"/>
              </w:rPr>
            </w:pPr>
            <w:r>
              <w:rPr>
                <w:rFonts w:asciiTheme="minorHAnsi" w:eastAsia="Times New Roman" w:hAnsiTheme="minorHAnsi" w:cstheme="minorHAnsi"/>
                <w:bCs/>
                <w:color w:val="auto"/>
                <w:sz w:val="18"/>
                <w:szCs w:val="18"/>
                <w:lang w:val="en-US" w:eastAsia="en-US"/>
              </w:rPr>
              <w:t>7,280</w:t>
            </w:r>
          </w:p>
        </w:tc>
        <w:tc>
          <w:tcPr>
            <w:tcW w:w="1417" w:type="dxa"/>
            <w:tcBorders>
              <w:top w:val="single" w:sz="4" w:space="0" w:color="auto"/>
              <w:bottom w:val="nil"/>
            </w:tcBorders>
          </w:tcPr>
          <w:p w14:paraId="4D06BB0F" w14:textId="17E6EE70" w:rsidR="0000593A" w:rsidRPr="00551D5A" w:rsidRDefault="001373B6" w:rsidP="0000593A">
            <w:pPr>
              <w:pStyle w:val="TableBody"/>
              <w:spacing w:line="240" w:lineRule="auto"/>
              <w:ind w:left="0"/>
              <w:jc w:val="right"/>
              <w:rPr>
                <w:rFonts w:asciiTheme="minorHAnsi" w:eastAsia="Times New Roman" w:hAnsiTheme="minorHAnsi" w:cstheme="minorHAnsi"/>
                <w:color w:val="auto"/>
                <w:sz w:val="18"/>
                <w:szCs w:val="18"/>
                <w:lang w:val="en-US" w:eastAsia="en-US"/>
              </w:rPr>
            </w:pPr>
            <w:r w:rsidRPr="00551D5A">
              <w:rPr>
                <w:rFonts w:asciiTheme="minorHAnsi" w:eastAsia="Times New Roman" w:hAnsiTheme="minorHAnsi" w:cstheme="minorHAnsi"/>
                <w:color w:val="auto"/>
                <w:sz w:val="18"/>
                <w:szCs w:val="18"/>
                <w:lang w:val="en-US" w:eastAsia="en-US"/>
              </w:rPr>
              <w:t>7,620</w:t>
            </w:r>
          </w:p>
        </w:tc>
        <w:tc>
          <w:tcPr>
            <w:tcW w:w="1418" w:type="dxa"/>
            <w:tcBorders>
              <w:top w:val="single" w:sz="4" w:space="0" w:color="auto"/>
              <w:bottom w:val="nil"/>
            </w:tcBorders>
            <w:shd w:val="clear" w:color="auto" w:fill="auto"/>
          </w:tcPr>
          <w:p w14:paraId="4AEF32E6" w14:textId="7DB635EE" w:rsidR="0000593A" w:rsidRPr="00551D5A" w:rsidRDefault="0000593A" w:rsidP="0000593A">
            <w:pPr>
              <w:pStyle w:val="TableBody"/>
              <w:spacing w:line="240" w:lineRule="auto"/>
              <w:ind w:left="0"/>
              <w:jc w:val="right"/>
              <w:rPr>
                <w:rFonts w:asciiTheme="minorHAnsi" w:eastAsia="Times New Roman" w:hAnsiTheme="minorHAnsi" w:cstheme="minorHAnsi"/>
                <w:color w:val="auto"/>
                <w:sz w:val="18"/>
                <w:szCs w:val="18"/>
                <w:lang w:val="en-US" w:eastAsia="en-US"/>
              </w:rPr>
            </w:pPr>
            <w:r w:rsidRPr="00551D5A">
              <w:rPr>
                <w:rFonts w:asciiTheme="minorHAnsi" w:eastAsia="Times New Roman" w:hAnsiTheme="minorHAnsi" w:cstheme="minorHAnsi"/>
                <w:color w:val="auto"/>
                <w:sz w:val="18"/>
                <w:szCs w:val="18"/>
                <w:lang w:val="en-US" w:eastAsia="en-US"/>
              </w:rPr>
              <w:t>12,370</w:t>
            </w:r>
          </w:p>
        </w:tc>
      </w:tr>
      <w:tr w:rsidR="0000593A" w:rsidRPr="00551D5A" w14:paraId="6307B85D" w14:textId="77777777" w:rsidTr="00997EF7">
        <w:trPr>
          <w:trHeight w:val="189"/>
        </w:trPr>
        <w:tc>
          <w:tcPr>
            <w:tcW w:w="4963" w:type="dxa"/>
            <w:tcBorders>
              <w:top w:val="nil"/>
              <w:bottom w:val="nil"/>
            </w:tcBorders>
            <w:shd w:val="clear" w:color="auto" w:fill="auto"/>
          </w:tcPr>
          <w:p w14:paraId="4026DF8A" w14:textId="77777777" w:rsidR="0000593A" w:rsidRPr="00551D5A" w:rsidRDefault="0000593A" w:rsidP="00997EF7">
            <w:pPr>
              <w:pStyle w:val="TableBody"/>
              <w:spacing w:line="240" w:lineRule="auto"/>
              <w:ind w:left="0" w:right="0"/>
              <w:jc w:val="left"/>
              <w:rPr>
                <w:rFonts w:asciiTheme="minorHAnsi" w:eastAsia="Times New Roman" w:hAnsiTheme="minorHAnsi" w:cstheme="minorHAnsi"/>
                <w:b/>
                <w:color w:val="auto"/>
                <w:sz w:val="18"/>
                <w:szCs w:val="18"/>
                <w:lang w:val="en-US" w:eastAsia="en-US" w:bidi="en-US"/>
              </w:rPr>
            </w:pPr>
          </w:p>
        </w:tc>
        <w:tc>
          <w:tcPr>
            <w:tcW w:w="1417" w:type="dxa"/>
            <w:tcBorders>
              <w:top w:val="nil"/>
              <w:bottom w:val="nil"/>
            </w:tcBorders>
            <w:shd w:val="clear" w:color="auto" w:fill="auto"/>
          </w:tcPr>
          <w:p w14:paraId="2E5A93E4" w14:textId="77777777" w:rsidR="0000593A" w:rsidRPr="00551D5A" w:rsidRDefault="0000593A" w:rsidP="0000593A">
            <w:pPr>
              <w:pStyle w:val="TableBody"/>
              <w:spacing w:line="240" w:lineRule="auto"/>
              <w:ind w:left="0"/>
              <w:jc w:val="right"/>
              <w:rPr>
                <w:rFonts w:asciiTheme="minorHAnsi" w:eastAsiaTheme="minorHAnsi" w:hAnsiTheme="minorHAnsi" w:cstheme="minorHAnsi"/>
                <w:bCs/>
                <w:color w:val="auto"/>
                <w:sz w:val="18"/>
                <w:szCs w:val="18"/>
                <w:lang w:val="en-GB"/>
              </w:rPr>
            </w:pPr>
          </w:p>
        </w:tc>
        <w:tc>
          <w:tcPr>
            <w:tcW w:w="1417" w:type="dxa"/>
            <w:tcBorders>
              <w:top w:val="nil"/>
              <w:bottom w:val="nil"/>
            </w:tcBorders>
          </w:tcPr>
          <w:p w14:paraId="26931A2F" w14:textId="77777777" w:rsidR="0000593A" w:rsidRPr="00551D5A" w:rsidRDefault="0000593A" w:rsidP="0000593A">
            <w:pPr>
              <w:pStyle w:val="TableBody"/>
              <w:spacing w:line="240" w:lineRule="auto"/>
              <w:ind w:left="0"/>
              <w:jc w:val="right"/>
              <w:rPr>
                <w:rFonts w:asciiTheme="minorHAnsi" w:eastAsia="Times New Roman" w:hAnsiTheme="minorHAnsi" w:cstheme="minorHAnsi"/>
                <w:color w:val="auto"/>
                <w:sz w:val="18"/>
                <w:szCs w:val="18"/>
                <w:lang w:val="en-US" w:eastAsia="en-US"/>
              </w:rPr>
            </w:pPr>
          </w:p>
        </w:tc>
        <w:tc>
          <w:tcPr>
            <w:tcW w:w="1418" w:type="dxa"/>
            <w:tcBorders>
              <w:top w:val="nil"/>
              <w:bottom w:val="nil"/>
            </w:tcBorders>
            <w:shd w:val="clear" w:color="auto" w:fill="auto"/>
          </w:tcPr>
          <w:p w14:paraId="63E854BD" w14:textId="16431541" w:rsidR="0000593A" w:rsidRPr="00551D5A" w:rsidRDefault="0000593A" w:rsidP="0000593A">
            <w:pPr>
              <w:pStyle w:val="TableBody"/>
              <w:spacing w:line="240" w:lineRule="auto"/>
              <w:ind w:left="0"/>
              <w:jc w:val="right"/>
              <w:rPr>
                <w:rFonts w:asciiTheme="minorHAnsi" w:eastAsia="Times New Roman" w:hAnsiTheme="minorHAnsi" w:cstheme="minorHAnsi"/>
                <w:color w:val="auto"/>
                <w:sz w:val="18"/>
                <w:szCs w:val="18"/>
                <w:lang w:val="en-US" w:eastAsia="en-US"/>
              </w:rPr>
            </w:pPr>
          </w:p>
        </w:tc>
      </w:tr>
      <w:tr w:rsidR="0000593A" w:rsidRPr="00551D5A" w14:paraId="19973CF2" w14:textId="77777777" w:rsidTr="00997EF7">
        <w:trPr>
          <w:trHeight w:val="189"/>
        </w:trPr>
        <w:tc>
          <w:tcPr>
            <w:tcW w:w="4963" w:type="dxa"/>
            <w:tcBorders>
              <w:top w:val="nil"/>
              <w:bottom w:val="nil"/>
            </w:tcBorders>
            <w:shd w:val="clear" w:color="auto" w:fill="auto"/>
          </w:tcPr>
          <w:p w14:paraId="3A38C298" w14:textId="77777777" w:rsidR="0000593A" w:rsidRPr="00551D5A" w:rsidRDefault="0000593A" w:rsidP="00997EF7">
            <w:pPr>
              <w:pStyle w:val="TableBody"/>
              <w:spacing w:line="240" w:lineRule="auto"/>
              <w:ind w:left="-105" w:right="0"/>
              <w:jc w:val="left"/>
              <w:rPr>
                <w:rFonts w:asciiTheme="minorHAnsi" w:eastAsia="Times New Roman" w:hAnsiTheme="minorHAnsi" w:cstheme="minorHAnsi"/>
                <w:bCs/>
                <w:i/>
                <w:iCs/>
                <w:color w:val="auto"/>
                <w:sz w:val="18"/>
                <w:szCs w:val="18"/>
                <w:lang w:val="en-US" w:eastAsia="en-US" w:bidi="en-US"/>
              </w:rPr>
            </w:pPr>
            <w:r w:rsidRPr="00551D5A">
              <w:rPr>
                <w:rFonts w:asciiTheme="minorHAnsi" w:eastAsia="Times New Roman" w:hAnsiTheme="minorHAnsi" w:cstheme="minorHAnsi"/>
                <w:bCs/>
                <w:i/>
                <w:iCs/>
                <w:color w:val="auto"/>
                <w:sz w:val="18"/>
                <w:szCs w:val="18"/>
                <w:lang w:val="en-US" w:eastAsia="en-US" w:bidi="en-US"/>
              </w:rPr>
              <w:t>Items that may subsequently be reclassified to the income statement</w:t>
            </w:r>
          </w:p>
        </w:tc>
        <w:tc>
          <w:tcPr>
            <w:tcW w:w="1417" w:type="dxa"/>
            <w:tcBorders>
              <w:top w:val="nil"/>
              <w:bottom w:val="nil"/>
            </w:tcBorders>
            <w:shd w:val="clear" w:color="auto" w:fill="auto"/>
          </w:tcPr>
          <w:p w14:paraId="2E8E0FE5" w14:textId="77777777" w:rsidR="0000593A" w:rsidRPr="008120FB" w:rsidRDefault="0000593A" w:rsidP="0000593A">
            <w:pPr>
              <w:pStyle w:val="TableBody"/>
              <w:spacing w:line="240" w:lineRule="auto"/>
              <w:ind w:left="0"/>
              <w:jc w:val="right"/>
              <w:rPr>
                <w:rFonts w:asciiTheme="minorHAnsi" w:eastAsiaTheme="minorHAnsi" w:hAnsiTheme="minorHAnsi" w:cstheme="minorHAnsi"/>
                <w:bCs/>
                <w:color w:val="auto"/>
                <w:sz w:val="18"/>
                <w:szCs w:val="18"/>
                <w:lang w:val="en-GB"/>
              </w:rPr>
            </w:pPr>
          </w:p>
        </w:tc>
        <w:tc>
          <w:tcPr>
            <w:tcW w:w="1417" w:type="dxa"/>
            <w:tcBorders>
              <w:top w:val="nil"/>
              <w:bottom w:val="nil"/>
            </w:tcBorders>
          </w:tcPr>
          <w:p w14:paraId="2B866820" w14:textId="77777777" w:rsidR="0000593A" w:rsidRPr="008120FB" w:rsidRDefault="0000593A" w:rsidP="0000593A">
            <w:pPr>
              <w:pStyle w:val="TableBody"/>
              <w:spacing w:line="240" w:lineRule="auto"/>
              <w:ind w:left="0"/>
              <w:jc w:val="right"/>
              <w:rPr>
                <w:rFonts w:asciiTheme="minorHAnsi" w:eastAsia="Times New Roman" w:hAnsiTheme="minorHAnsi" w:cstheme="minorHAnsi"/>
                <w:color w:val="auto"/>
                <w:sz w:val="18"/>
                <w:szCs w:val="18"/>
                <w:lang w:val="en-US" w:eastAsia="en-US"/>
              </w:rPr>
            </w:pPr>
          </w:p>
        </w:tc>
        <w:tc>
          <w:tcPr>
            <w:tcW w:w="1418" w:type="dxa"/>
            <w:tcBorders>
              <w:top w:val="nil"/>
              <w:bottom w:val="nil"/>
            </w:tcBorders>
            <w:shd w:val="clear" w:color="auto" w:fill="auto"/>
          </w:tcPr>
          <w:p w14:paraId="1B049365" w14:textId="7460400F" w:rsidR="0000593A" w:rsidRPr="00551D5A" w:rsidRDefault="0000593A" w:rsidP="0000593A">
            <w:pPr>
              <w:pStyle w:val="TableBody"/>
              <w:spacing w:line="240" w:lineRule="auto"/>
              <w:ind w:left="0"/>
              <w:jc w:val="right"/>
              <w:rPr>
                <w:rFonts w:asciiTheme="minorHAnsi" w:eastAsia="Times New Roman" w:hAnsiTheme="minorHAnsi" w:cstheme="minorHAnsi"/>
                <w:color w:val="auto"/>
                <w:sz w:val="18"/>
                <w:szCs w:val="18"/>
                <w:lang w:val="en-US" w:eastAsia="en-US"/>
              </w:rPr>
            </w:pPr>
          </w:p>
        </w:tc>
      </w:tr>
      <w:tr w:rsidR="0000593A" w:rsidRPr="00551D5A" w14:paraId="0D6705B3" w14:textId="77777777" w:rsidTr="00997EF7">
        <w:trPr>
          <w:trHeight w:val="189"/>
        </w:trPr>
        <w:tc>
          <w:tcPr>
            <w:tcW w:w="4963" w:type="dxa"/>
            <w:tcBorders>
              <w:top w:val="nil"/>
              <w:bottom w:val="nil"/>
            </w:tcBorders>
            <w:shd w:val="clear" w:color="auto" w:fill="auto"/>
          </w:tcPr>
          <w:p w14:paraId="5A09CCAE" w14:textId="77777777" w:rsidR="0000593A" w:rsidRPr="00551D5A" w:rsidRDefault="0000593A" w:rsidP="00997EF7">
            <w:pPr>
              <w:pStyle w:val="TableBody"/>
              <w:spacing w:line="240" w:lineRule="auto"/>
              <w:ind w:left="-105" w:right="0"/>
              <w:jc w:val="left"/>
              <w:rPr>
                <w:rFonts w:asciiTheme="minorHAnsi" w:eastAsia="Times New Roman" w:hAnsiTheme="minorHAnsi" w:cstheme="minorHAnsi"/>
                <w:bCs/>
                <w:i/>
                <w:iCs/>
                <w:color w:val="auto"/>
                <w:sz w:val="18"/>
                <w:szCs w:val="18"/>
                <w:lang w:val="en-US" w:eastAsia="en-US" w:bidi="en-US"/>
              </w:rPr>
            </w:pPr>
            <w:r w:rsidRPr="00551D5A">
              <w:rPr>
                <w:rFonts w:asciiTheme="minorHAnsi" w:eastAsia="Times New Roman" w:hAnsiTheme="minorHAnsi" w:cstheme="minorHAnsi"/>
                <w:bCs/>
                <w:color w:val="auto"/>
                <w:sz w:val="18"/>
                <w:szCs w:val="18"/>
                <w:lang w:val="en-US" w:eastAsia="en-US" w:bidi="en-US"/>
              </w:rPr>
              <w:t>Fair value movements on cash flow hedging instruments</w:t>
            </w:r>
          </w:p>
        </w:tc>
        <w:tc>
          <w:tcPr>
            <w:tcW w:w="1417" w:type="dxa"/>
            <w:tcBorders>
              <w:top w:val="nil"/>
              <w:bottom w:val="nil"/>
            </w:tcBorders>
            <w:shd w:val="clear" w:color="auto" w:fill="auto"/>
          </w:tcPr>
          <w:p w14:paraId="44FE14F7" w14:textId="0E89EC71" w:rsidR="0000593A" w:rsidRPr="008B47AB" w:rsidRDefault="008120FB" w:rsidP="0000593A">
            <w:pPr>
              <w:pStyle w:val="TableBody"/>
              <w:spacing w:line="240" w:lineRule="auto"/>
              <w:ind w:left="0"/>
              <w:jc w:val="right"/>
              <w:rPr>
                <w:rFonts w:asciiTheme="minorHAnsi" w:eastAsiaTheme="minorHAnsi" w:hAnsiTheme="minorHAnsi" w:cstheme="minorHAnsi"/>
                <w:bCs/>
                <w:color w:val="auto"/>
                <w:sz w:val="18"/>
                <w:szCs w:val="18"/>
                <w:lang w:val="en-GB"/>
              </w:rPr>
            </w:pPr>
            <w:r w:rsidRPr="008B47AB">
              <w:rPr>
                <w:rFonts w:asciiTheme="minorHAnsi" w:eastAsiaTheme="minorHAnsi" w:hAnsiTheme="minorHAnsi" w:cstheme="minorHAnsi"/>
                <w:bCs/>
                <w:color w:val="auto"/>
                <w:sz w:val="18"/>
                <w:szCs w:val="18"/>
                <w:lang w:val="en-GB"/>
              </w:rPr>
              <w:t>(1,645)</w:t>
            </w:r>
          </w:p>
        </w:tc>
        <w:tc>
          <w:tcPr>
            <w:tcW w:w="1417" w:type="dxa"/>
            <w:tcBorders>
              <w:top w:val="nil"/>
              <w:bottom w:val="nil"/>
            </w:tcBorders>
          </w:tcPr>
          <w:p w14:paraId="0CEB1033" w14:textId="275E8342" w:rsidR="0000593A" w:rsidRPr="008120FB" w:rsidRDefault="001373B6" w:rsidP="0000593A">
            <w:pPr>
              <w:pStyle w:val="TableBody"/>
              <w:spacing w:line="240" w:lineRule="auto"/>
              <w:ind w:left="0"/>
              <w:jc w:val="right"/>
              <w:rPr>
                <w:rFonts w:asciiTheme="minorHAnsi" w:eastAsia="Times New Roman" w:hAnsiTheme="minorHAnsi" w:cstheme="minorHAnsi"/>
                <w:color w:val="auto"/>
                <w:sz w:val="18"/>
                <w:szCs w:val="18"/>
                <w:lang w:val="en-US" w:eastAsia="en-US"/>
              </w:rPr>
            </w:pPr>
            <w:r w:rsidRPr="008120FB">
              <w:rPr>
                <w:rFonts w:asciiTheme="minorHAnsi" w:eastAsia="Times New Roman" w:hAnsiTheme="minorHAnsi" w:cstheme="minorHAnsi"/>
                <w:color w:val="auto"/>
                <w:sz w:val="18"/>
                <w:szCs w:val="18"/>
                <w:lang w:val="en-US" w:eastAsia="en-US"/>
              </w:rPr>
              <w:t>1,011</w:t>
            </w:r>
          </w:p>
        </w:tc>
        <w:tc>
          <w:tcPr>
            <w:tcW w:w="1418" w:type="dxa"/>
            <w:tcBorders>
              <w:top w:val="nil"/>
              <w:bottom w:val="nil"/>
            </w:tcBorders>
            <w:shd w:val="clear" w:color="auto" w:fill="auto"/>
          </w:tcPr>
          <w:p w14:paraId="627714D4" w14:textId="13AC3DFD" w:rsidR="0000593A" w:rsidRPr="00551D5A" w:rsidRDefault="0000593A" w:rsidP="0000593A">
            <w:pPr>
              <w:pStyle w:val="TableBody"/>
              <w:spacing w:line="240" w:lineRule="auto"/>
              <w:ind w:left="0"/>
              <w:jc w:val="right"/>
              <w:rPr>
                <w:rFonts w:asciiTheme="minorHAnsi" w:eastAsia="Times New Roman" w:hAnsiTheme="minorHAnsi" w:cstheme="minorHAnsi"/>
                <w:color w:val="auto"/>
                <w:sz w:val="18"/>
                <w:szCs w:val="18"/>
                <w:lang w:val="en-US" w:eastAsia="en-US"/>
              </w:rPr>
            </w:pPr>
            <w:r w:rsidRPr="00551D5A">
              <w:rPr>
                <w:rFonts w:asciiTheme="minorHAnsi" w:eastAsia="Times New Roman" w:hAnsiTheme="minorHAnsi" w:cstheme="minorHAnsi"/>
                <w:color w:val="auto"/>
                <w:sz w:val="18"/>
                <w:szCs w:val="18"/>
                <w:lang w:val="en-US" w:eastAsia="en-US"/>
              </w:rPr>
              <w:t>3,239</w:t>
            </w:r>
          </w:p>
        </w:tc>
      </w:tr>
      <w:tr w:rsidR="0000593A" w:rsidRPr="00551D5A" w14:paraId="51A0D313" w14:textId="77777777" w:rsidTr="00997EF7">
        <w:trPr>
          <w:trHeight w:val="189"/>
        </w:trPr>
        <w:tc>
          <w:tcPr>
            <w:tcW w:w="4963" w:type="dxa"/>
            <w:tcBorders>
              <w:top w:val="nil"/>
              <w:bottom w:val="nil"/>
            </w:tcBorders>
            <w:shd w:val="clear" w:color="auto" w:fill="auto"/>
          </w:tcPr>
          <w:p w14:paraId="44526118" w14:textId="3725ADA5" w:rsidR="0000593A" w:rsidRPr="00551D5A" w:rsidRDefault="0000593A" w:rsidP="00997EF7">
            <w:pPr>
              <w:pStyle w:val="TableBody"/>
              <w:spacing w:line="240" w:lineRule="auto"/>
              <w:ind w:left="-105" w:right="0"/>
              <w:jc w:val="left"/>
              <w:rPr>
                <w:rFonts w:asciiTheme="minorHAnsi" w:eastAsia="Times New Roman" w:hAnsiTheme="minorHAnsi" w:cstheme="minorHAnsi"/>
                <w:bCs/>
                <w:color w:val="auto"/>
                <w:sz w:val="18"/>
                <w:szCs w:val="18"/>
                <w:lang w:val="en-US" w:eastAsia="en-US" w:bidi="en-US"/>
              </w:rPr>
            </w:pPr>
            <w:r w:rsidRPr="00551D5A">
              <w:rPr>
                <w:rFonts w:asciiTheme="minorHAnsi" w:eastAsia="Times New Roman" w:hAnsiTheme="minorHAnsi" w:cstheme="minorHAnsi"/>
                <w:bCs/>
                <w:color w:val="auto"/>
                <w:sz w:val="18"/>
                <w:szCs w:val="18"/>
                <w:lang w:val="en-US" w:eastAsia="en-US" w:bidi="en-US"/>
              </w:rPr>
              <w:t>Hedging instruments recycled through the income statement at the end of hedging relationships</w:t>
            </w:r>
          </w:p>
        </w:tc>
        <w:tc>
          <w:tcPr>
            <w:tcW w:w="1417" w:type="dxa"/>
            <w:tcBorders>
              <w:top w:val="nil"/>
              <w:bottom w:val="nil"/>
            </w:tcBorders>
            <w:shd w:val="clear" w:color="auto" w:fill="auto"/>
          </w:tcPr>
          <w:p w14:paraId="2763B0FC" w14:textId="5C405A41" w:rsidR="0000593A" w:rsidRPr="008B47AB" w:rsidRDefault="008120FB" w:rsidP="0000593A">
            <w:pPr>
              <w:pStyle w:val="TableBody"/>
              <w:spacing w:line="240" w:lineRule="auto"/>
              <w:ind w:left="0"/>
              <w:jc w:val="right"/>
              <w:rPr>
                <w:rFonts w:asciiTheme="minorHAnsi" w:eastAsiaTheme="minorHAnsi" w:hAnsiTheme="minorHAnsi" w:cstheme="minorHAnsi"/>
                <w:bCs/>
                <w:color w:val="auto"/>
                <w:sz w:val="18"/>
                <w:szCs w:val="18"/>
                <w:lang w:val="en-GB"/>
              </w:rPr>
            </w:pPr>
            <w:r w:rsidRPr="008B47AB">
              <w:rPr>
                <w:rFonts w:asciiTheme="minorHAnsi" w:eastAsiaTheme="minorHAnsi" w:hAnsiTheme="minorHAnsi" w:cstheme="minorHAnsi"/>
                <w:bCs/>
                <w:color w:val="auto"/>
                <w:sz w:val="18"/>
                <w:szCs w:val="18"/>
                <w:lang w:val="en-GB"/>
              </w:rPr>
              <w:t>(1,572)</w:t>
            </w:r>
          </w:p>
        </w:tc>
        <w:tc>
          <w:tcPr>
            <w:tcW w:w="1417" w:type="dxa"/>
            <w:tcBorders>
              <w:top w:val="nil"/>
              <w:bottom w:val="nil"/>
            </w:tcBorders>
          </w:tcPr>
          <w:p w14:paraId="18E2DD61" w14:textId="4B2FF42A" w:rsidR="0000593A" w:rsidRPr="008120FB" w:rsidRDefault="001373B6" w:rsidP="0000593A">
            <w:pPr>
              <w:pStyle w:val="TableBody"/>
              <w:spacing w:line="240" w:lineRule="auto"/>
              <w:ind w:left="0"/>
              <w:jc w:val="right"/>
              <w:rPr>
                <w:rFonts w:asciiTheme="minorHAnsi" w:eastAsia="Times New Roman" w:hAnsiTheme="minorHAnsi" w:cstheme="minorHAnsi"/>
                <w:color w:val="auto"/>
                <w:sz w:val="18"/>
                <w:szCs w:val="18"/>
                <w:lang w:val="en-US" w:eastAsia="en-US"/>
              </w:rPr>
            </w:pPr>
            <w:r w:rsidRPr="008120FB">
              <w:rPr>
                <w:rFonts w:asciiTheme="minorHAnsi" w:eastAsia="Times New Roman" w:hAnsiTheme="minorHAnsi" w:cstheme="minorHAnsi"/>
                <w:color w:val="auto"/>
                <w:sz w:val="18"/>
                <w:szCs w:val="18"/>
                <w:lang w:val="en-US" w:eastAsia="en-US"/>
              </w:rPr>
              <w:t>118</w:t>
            </w:r>
          </w:p>
        </w:tc>
        <w:tc>
          <w:tcPr>
            <w:tcW w:w="1418" w:type="dxa"/>
            <w:tcBorders>
              <w:top w:val="nil"/>
              <w:bottom w:val="nil"/>
            </w:tcBorders>
            <w:shd w:val="clear" w:color="auto" w:fill="auto"/>
          </w:tcPr>
          <w:p w14:paraId="3689702A" w14:textId="4A59A9E6" w:rsidR="0000593A" w:rsidRPr="00551D5A" w:rsidRDefault="0000593A" w:rsidP="0000593A">
            <w:pPr>
              <w:pStyle w:val="TableBody"/>
              <w:spacing w:line="240" w:lineRule="auto"/>
              <w:ind w:left="0"/>
              <w:jc w:val="right"/>
              <w:rPr>
                <w:rFonts w:asciiTheme="minorHAnsi" w:eastAsia="Times New Roman" w:hAnsiTheme="minorHAnsi" w:cstheme="minorHAnsi"/>
                <w:color w:val="auto"/>
                <w:sz w:val="18"/>
                <w:szCs w:val="18"/>
                <w:lang w:val="en-US" w:eastAsia="en-US"/>
              </w:rPr>
            </w:pPr>
            <w:r w:rsidRPr="00551D5A">
              <w:rPr>
                <w:rFonts w:asciiTheme="minorHAnsi" w:eastAsia="Times New Roman" w:hAnsiTheme="minorHAnsi" w:cstheme="minorHAnsi"/>
                <w:color w:val="auto"/>
                <w:sz w:val="18"/>
                <w:szCs w:val="18"/>
                <w:lang w:val="en-US" w:eastAsia="en-US"/>
              </w:rPr>
              <w:t>162</w:t>
            </w:r>
          </w:p>
        </w:tc>
      </w:tr>
      <w:tr w:rsidR="0000593A" w:rsidRPr="00551D5A" w14:paraId="4F08A025" w14:textId="77777777" w:rsidTr="00997EF7">
        <w:trPr>
          <w:trHeight w:val="189"/>
        </w:trPr>
        <w:tc>
          <w:tcPr>
            <w:tcW w:w="4963" w:type="dxa"/>
            <w:tcBorders>
              <w:top w:val="nil"/>
              <w:bottom w:val="nil"/>
            </w:tcBorders>
            <w:shd w:val="clear" w:color="auto" w:fill="auto"/>
          </w:tcPr>
          <w:p w14:paraId="21CE553F" w14:textId="77777777" w:rsidR="0000593A" w:rsidRPr="00551D5A" w:rsidRDefault="0000593A" w:rsidP="00997EF7">
            <w:pPr>
              <w:pStyle w:val="TableBody"/>
              <w:spacing w:line="240" w:lineRule="auto"/>
              <w:ind w:left="-105" w:right="0"/>
              <w:jc w:val="left"/>
              <w:rPr>
                <w:rFonts w:asciiTheme="minorHAnsi" w:eastAsia="Times New Roman" w:hAnsiTheme="minorHAnsi" w:cstheme="minorHAnsi"/>
                <w:bCs/>
                <w:i/>
                <w:iCs/>
                <w:color w:val="auto"/>
                <w:sz w:val="18"/>
                <w:szCs w:val="18"/>
                <w:lang w:val="en-US" w:eastAsia="en-US" w:bidi="en-US"/>
              </w:rPr>
            </w:pPr>
            <w:r w:rsidRPr="00551D5A">
              <w:rPr>
                <w:rFonts w:asciiTheme="minorHAnsi" w:eastAsia="Times New Roman" w:hAnsiTheme="minorHAnsi" w:cstheme="minorHAnsi"/>
                <w:bCs/>
                <w:i/>
                <w:iCs/>
                <w:color w:val="auto"/>
                <w:sz w:val="18"/>
                <w:szCs w:val="18"/>
                <w:lang w:val="en-US" w:eastAsia="en-US" w:bidi="en-US"/>
              </w:rPr>
              <w:t>Items that will not subsequently be reclassified to the income statement</w:t>
            </w:r>
          </w:p>
        </w:tc>
        <w:tc>
          <w:tcPr>
            <w:tcW w:w="1417" w:type="dxa"/>
            <w:tcBorders>
              <w:top w:val="nil"/>
              <w:bottom w:val="nil"/>
            </w:tcBorders>
            <w:shd w:val="clear" w:color="auto" w:fill="auto"/>
          </w:tcPr>
          <w:p w14:paraId="03A92775" w14:textId="77777777" w:rsidR="0000593A" w:rsidRPr="00551D5A" w:rsidRDefault="0000593A" w:rsidP="0000593A">
            <w:pPr>
              <w:pStyle w:val="TableBody"/>
              <w:spacing w:line="240" w:lineRule="auto"/>
              <w:ind w:left="0"/>
              <w:jc w:val="right"/>
              <w:rPr>
                <w:rFonts w:asciiTheme="minorHAnsi" w:eastAsiaTheme="minorHAnsi" w:hAnsiTheme="minorHAnsi" w:cstheme="minorHAnsi"/>
                <w:bCs/>
                <w:color w:val="auto"/>
                <w:sz w:val="18"/>
                <w:szCs w:val="18"/>
                <w:lang w:val="en-GB"/>
              </w:rPr>
            </w:pPr>
          </w:p>
        </w:tc>
        <w:tc>
          <w:tcPr>
            <w:tcW w:w="1417" w:type="dxa"/>
            <w:tcBorders>
              <w:top w:val="nil"/>
              <w:bottom w:val="nil"/>
            </w:tcBorders>
          </w:tcPr>
          <w:p w14:paraId="6A62C1F5" w14:textId="77777777" w:rsidR="0000593A" w:rsidRPr="00551D5A" w:rsidRDefault="0000593A" w:rsidP="0000593A">
            <w:pPr>
              <w:pStyle w:val="TableBody"/>
              <w:spacing w:line="240" w:lineRule="auto"/>
              <w:ind w:left="0"/>
              <w:jc w:val="right"/>
              <w:rPr>
                <w:rFonts w:asciiTheme="minorHAnsi" w:eastAsia="Times New Roman" w:hAnsiTheme="minorHAnsi" w:cstheme="minorHAnsi"/>
                <w:color w:val="auto"/>
                <w:sz w:val="18"/>
                <w:szCs w:val="18"/>
                <w:lang w:val="en-US" w:eastAsia="en-US"/>
              </w:rPr>
            </w:pPr>
          </w:p>
        </w:tc>
        <w:tc>
          <w:tcPr>
            <w:tcW w:w="1418" w:type="dxa"/>
            <w:tcBorders>
              <w:top w:val="nil"/>
              <w:bottom w:val="nil"/>
            </w:tcBorders>
            <w:shd w:val="clear" w:color="auto" w:fill="auto"/>
          </w:tcPr>
          <w:p w14:paraId="0B5B779E" w14:textId="52538D5B" w:rsidR="0000593A" w:rsidRPr="00551D5A" w:rsidRDefault="0000593A" w:rsidP="0000593A">
            <w:pPr>
              <w:pStyle w:val="TableBody"/>
              <w:spacing w:line="240" w:lineRule="auto"/>
              <w:ind w:left="0"/>
              <w:jc w:val="right"/>
              <w:rPr>
                <w:rFonts w:asciiTheme="minorHAnsi" w:eastAsia="Times New Roman" w:hAnsiTheme="minorHAnsi" w:cstheme="minorHAnsi"/>
                <w:color w:val="auto"/>
                <w:sz w:val="18"/>
                <w:szCs w:val="18"/>
                <w:lang w:val="en-US" w:eastAsia="en-US"/>
              </w:rPr>
            </w:pPr>
          </w:p>
        </w:tc>
      </w:tr>
      <w:tr w:rsidR="0000593A" w:rsidRPr="00551D5A" w14:paraId="02E2A4AF" w14:textId="77777777" w:rsidTr="00997EF7">
        <w:trPr>
          <w:trHeight w:val="189"/>
        </w:trPr>
        <w:tc>
          <w:tcPr>
            <w:tcW w:w="4963" w:type="dxa"/>
            <w:tcBorders>
              <w:top w:val="nil"/>
              <w:bottom w:val="single" w:sz="4" w:space="0" w:color="auto"/>
            </w:tcBorders>
            <w:shd w:val="clear" w:color="auto" w:fill="auto"/>
          </w:tcPr>
          <w:p w14:paraId="18F48AAE" w14:textId="77777777" w:rsidR="0000593A" w:rsidRPr="00551D5A" w:rsidRDefault="0000593A" w:rsidP="00997EF7">
            <w:pPr>
              <w:pStyle w:val="TableBody"/>
              <w:spacing w:line="240" w:lineRule="auto"/>
              <w:ind w:left="-105" w:right="0"/>
              <w:jc w:val="left"/>
              <w:rPr>
                <w:rFonts w:asciiTheme="minorHAnsi" w:eastAsia="Times New Roman" w:hAnsiTheme="minorHAnsi" w:cstheme="minorHAnsi"/>
                <w:bCs/>
                <w:color w:val="auto"/>
                <w:sz w:val="18"/>
                <w:szCs w:val="18"/>
                <w:lang w:val="en-US" w:eastAsia="en-US" w:bidi="en-US"/>
              </w:rPr>
            </w:pPr>
            <w:r w:rsidRPr="00551D5A">
              <w:rPr>
                <w:rFonts w:asciiTheme="minorHAnsi" w:eastAsia="Times New Roman" w:hAnsiTheme="minorHAnsi" w:cstheme="minorHAnsi"/>
                <w:bCs/>
                <w:color w:val="auto"/>
                <w:sz w:val="18"/>
                <w:szCs w:val="18"/>
                <w:lang w:val="en-US" w:eastAsia="en-US" w:bidi="en-US"/>
              </w:rPr>
              <w:t>Foreign current translation</w:t>
            </w:r>
          </w:p>
        </w:tc>
        <w:tc>
          <w:tcPr>
            <w:tcW w:w="1417" w:type="dxa"/>
            <w:tcBorders>
              <w:top w:val="nil"/>
              <w:bottom w:val="single" w:sz="4" w:space="0" w:color="auto"/>
            </w:tcBorders>
            <w:shd w:val="clear" w:color="auto" w:fill="auto"/>
          </w:tcPr>
          <w:p w14:paraId="7878E383" w14:textId="20003F5C" w:rsidR="0000593A" w:rsidRPr="00551D5A" w:rsidRDefault="00D71434" w:rsidP="0000593A">
            <w:pPr>
              <w:pStyle w:val="TableBody"/>
              <w:spacing w:line="240" w:lineRule="auto"/>
              <w:ind w:left="0"/>
              <w:jc w:val="right"/>
              <w:rPr>
                <w:rFonts w:asciiTheme="minorHAnsi" w:eastAsiaTheme="minorHAnsi" w:hAnsiTheme="minorHAnsi" w:cstheme="minorHAnsi"/>
                <w:bCs/>
                <w:color w:val="auto"/>
                <w:sz w:val="18"/>
                <w:szCs w:val="18"/>
                <w:lang w:val="en-GB"/>
              </w:rPr>
            </w:pPr>
            <w:r>
              <w:rPr>
                <w:rFonts w:asciiTheme="minorHAnsi" w:eastAsiaTheme="minorHAnsi" w:hAnsiTheme="minorHAnsi" w:cstheme="minorHAnsi"/>
                <w:bCs/>
                <w:color w:val="auto"/>
                <w:sz w:val="18"/>
                <w:szCs w:val="18"/>
                <w:lang w:val="en-GB"/>
              </w:rPr>
              <w:t>-</w:t>
            </w:r>
          </w:p>
        </w:tc>
        <w:tc>
          <w:tcPr>
            <w:tcW w:w="1417" w:type="dxa"/>
            <w:tcBorders>
              <w:top w:val="nil"/>
              <w:bottom w:val="single" w:sz="4" w:space="0" w:color="auto"/>
            </w:tcBorders>
          </w:tcPr>
          <w:p w14:paraId="4C82C4DB" w14:textId="457BC9FB" w:rsidR="0000593A" w:rsidRPr="00551D5A" w:rsidRDefault="001373B6" w:rsidP="0000593A">
            <w:pPr>
              <w:pStyle w:val="TableBody"/>
              <w:spacing w:line="240" w:lineRule="auto"/>
              <w:ind w:left="0"/>
              <w:jc w:val="right"/>
              <w:rPr>
                <w:rFonts w:asciiTheme="minorHAnsi" w:eastAsia="Times New Roman" w:hAnsiTheme="minorHAnsi" w:cstheme="minorHAnsi"/>
                <w:color w:val="auto"/>
                <w:sz w:val="18"/>
                <w:szCs w:val="18"/>
                <w:lang w:val="en-US" w:eastAsia="en-US"/>
              </w:rPr>
            </w:pPr>
            <w:r w:rsidRPr="00551D5A">
              <w:rPr>
                <w:rFonts w:asciiTheme="minorHAnsi" w:eastAsia="Times New Roman" w:hAnsiTheme="minorHAnsi" w:cstheme="minorHAnsi"/>
                <w:color w:val="auto"/>
                <w:sz w:val="18"/>
                <w:szCs w:val="18"/>
                <w:lang w:val="en-US" w:eastAsia="en-US"/>
              </w:rPr>
              <w:t>2</w:t>
            </w:r>
          </w:p>
        </w:tc>
        <w:tc>
          <w:tcPr>
            <w:tcW w:w="1418" w:type="dxa"/>
            <w:tcBorders>
              <w:top w:val="nil"/>
              <w:bottom w:val="single" w:sz="4" w:space="0" w:color="auto"/>
            </w:tcBorders>
            <w:shd w:val="clear" w:color="auto" w:fill="auto"/>
          </w:tcPr>
          <w:p w14:paraId="50BD2288" w14:textId="717D41EA" w:rsidR="0000593A" w:rsidRPr="00551D5A" w:rsidRDefault="0000593A" w:rsidP="0000593A">
            <w:pPr>
              <w:pStyle w:val="TableBody"/>
              <w:spacing w:line="240" w:lineRule="auto"/>
              <w:ind w:left="0"/>
              <w:jc w:val="right"/>
              <w:rPr>
                <w:rFonts w:asciiTheme="minorHAnsi" w:eastAsia="Times New Roman" w:hAnsiTheme="minorHAnsi" w:cstheme="minorHAnsi"/>
                <w:color w:val="auto"/>
                <w:sz w:val="18"/>
                <w:szCs w:val="18"/>
                <w:lang w:val="en-US" w:eastAsia="en-US"/>
              </w:rPr>
            </w:pPr>
            <w:r w:rsidRPr="00551D5A">
              <w:rPr>
                <w:rFonts w:asciiTheme="minorHAnsi" w:eastAsia="Times New Roman" w:hAnsiTheme="minorHAnsi" w:cstheme="minorHAnsi"/>
                <w:color w:val="auto"/>
                <w:sz w:val="18"/>
                <w:szCs w:val="18"/>
                <w:lang w:val="en-US" w:eastAsia="en-US"/>
              </w:rPr>
              <w:t>11</w:t>
            </w:r>
          </w:p>
        </w:tc>
      </w:tr>
      <w:tr w:rsidR="0000593A" w:rsidRPr="00551D5A" w14:paraId="2D9C4671" w14:textId="77777777" w:rsidTr="00997EF7">
        <w:trPr>
          <w:trHeight w:val="189"/>
        </w:trPr>
        <w:tc>
          <w:tcPr>
            <w:tcW w:w="4963" w:type="dxa"/>
            <w:tcBorders>
              <w:top w:val="single" w:sz="4" w:space="0" w:color="auto"/>
              <w:bottom w:val="single" w:sz="4" w:space="0" w:color="auto"/>
            </w:tcBorders>
            <w:shd w:val="clear" w:color="auto" w:fill="auto"/>
          </w:tcPr>
          <w:p w14:paraId="4BD488EB" w14:textId="77777777" w:rsidR="0000593A" w:rsidRPr="00551D5A" w:rsidRDefault="0000593A" w:rsidP="00997EF7">
            <w:pPr>
              <w:pStyle w:val="TableBody"/>
              <w:spacing w:line="240" w:lineRule="auto"/>
              <w:ind w:left="0" w:right="0" w:hanging="105"/>
              <w:jc w:val="left"/>
              <w:rPr>
                <w:rFonts w:asciiTheme="minorHAnsi" w:eastAsia="Times New Roman" w:hAnsiTheme="minorHAnsi" w:cstheme="minorHAnsi"/>
                <w:b/>
                <w:color w:val="auto"/>
                <w:sz w:val="18"/>
                <w:szCs w:val="18"/>
                <w:lang w:val="en-US" w:eastAsia="en-US" w:bidi="en-US"/>
              </w:rPr>
            </w:pPr>
            <w:r w:rsidRPr="00551D5A">
              <w:rPr>
                <w:rFonts w:asciiTheme="minorHAnsi" w:eastAsia="Times New Roman" w:hAnsiTheme="minorHAnsi" w:cstheme="minorHAnsi"/>
                <w:b/>
                <w:color w:val="auto"/>
                <w:sz w:val="18"/>
                <w:szCs w:val="18"/>
                <w:lang w:val="en-US" w:eastAsia="en-US" w:bidi="en-US"/>
              </w:rPr>
              <w:t>Other comprehensive income</w:t>
            </w:r>
          </w:p>
        </w:tc>
        <w:tc>
          <w:tcPr>
            <w:tcW w:w="1417" w:type="dxa"/>
            <w:tcBorders>
              <w:top w:val="single" w:sz="4" w:space="0" w:color="auto"/>
              <w:bottom w:val="single" w:sz="4" w:space="0" w:color="auto"/>
            </w:tcBorders>
            <w:shd w:val="clear" w:color="auto" w:fill="auto"/>
          </w:tcPr>
          <w:p w14:paraId="339573D2" w14:textId="0D80600D" w:rsidR="0000593A" w:rsidRPr="00551D5A" w:rsidRDefault="00E37CE5" w:rsidP="0000593A">
            <w:pPr>
              <w:pStyle w:val="TableBody"/>
              <w:spacing w:line="240" w:lineRule="auto"/>
              <w:ind w:left="0"/>
              <w:jc w:val="right"/>
              <w:rPr>
                <w:rFonts w:asciiTheme="minorHAnsi" w:eastAsiaTheme="minorHAnsi" w:hAnsiTheme="minorHAnsi" w:cstheme="minorHAnsi"/>
                <w:bCs/>
                <w:color w:val="auto"/>
                <w:sz w:val="18"/>
                <w:szCs w:val="18"/>
                <w:lang w:val="en-GB"/>
              </w:rPr>
            </w:pPr>
            <w:r>
              <w:rPr>
                <w:rFonts w:asciiTheme="minorHAnsi" w:eastAsiaTheme="minorHAnsi" w:hAnsiTheme="minorHAnsi" w:cstheme="minorHAnsi"/>
                <w:bCs/>
                <w:color w:val="auto"/>
                <w:sz w:val="18"/>
                <w:szCs w:val="18"/>
                <w:lang w:val="en-GB"/>
              </w:rPr>
              <w:t>(3,217)</w:t>
            </w:r>
          </w:p>
        </w:tc>
        <w:tc>
          <w:tcPr>
            <w:tcW w:w="1417" w:type="dxa"/>
            <w:tcBorders>
              <w:top w:val="single" w:sz="4" w:space="0" w:color="auto"/>
              <w:bottom w:val="single" w:sz="4" w:space="0" w:color="auto"/>
            </w:tcBorders>
          </w:tcPr>
          <w:p w14:paraId="1D01CBE2" w14:textId="3C00D365" w:rsidR="0000593A" w:rsidRPr="00551D5A" w:rsidRDefault="001373B6" w:rsidP="0000593A">
            <w:pPr>
              <w:pStyle w:val="TableBody"/>
              <w:spacing w:line="240" w:lineRule="auto"/>
              <w:ind w:left="0"/>
              <w:jc w:val="right"/>
              <w:rPr>
                <w:rFonts w:asciiTheme="minorHAnsi" w:eastAsia="Times New Roman" w:hAnsiTheme="minorHAnsi" w:cstheme="minorHAnsi"/>
                <w:color w:val="auto"/>
                <w:sz w:val="18"/>
                <w:szCs w:val="18"/>
                <w:lang w:val="en-US" w:eastAsia="en-US"/>
              </w:rPr>
            </w:pPr>
            <w:r w:rsidRPr="00551D5A">
              <w:rPr>
                <w:rFonts w:asciiTheme="minorHAnsi" w:eastAsia="Times New Roman" w:hAnsiTheme="minorHAnsi" w:cstheme="minorHAnsi"/>
                <w:color w:val="auto"/>
                <w:sz w:val="18"/>
                <w:szCs w:val="18"/>
                <w:lang w:val="en-US" w:eastAsia="en-US"/>
              </w:rPr>
              <w:t>1,131</w:t>
            </w:r>
          </w:p>
        </w:tc>
        <w:tc>
          <w:tcPr>
            <w:tcW w:w="1418" w:type="dxa"/>
            <w:tcBorders>
              <w:top w:val="single" w:sz="4" w:space="0" w:color="auto"/>
              <w:bottom w:val="single" w:sz="4" w:space="0" w:color="auto"/>
            </w:tcBorders>
            <w:shd w:val="clear" w:color="auto" w:fill="auto"/>
          </w:tcPr>
          <w:p w14:paraId="0788FE9B" w14:textId="471F9651" w:rsidR="0000593A" w:rsidRPr="00551D5A" w:rsidRDefault="0000593A" w:rsidP="0000593A">
            <w:pPr>
              <w:pStyle w:val="TableBody"/>
              <w:spacing w:line="240" w:lineRule="auto"/>
              <w:ind w:left="0"/>
              <w:jc w:val="right"/>
              <w:rPr>
                <w:rFonts w:asciiTheme="minorHAnsi" w:eastAsia="Times New Roman" w:hAnsiTheme="minorHAnsi" w:cstheme="minorHAnsi"/>
                <w:color w:val="auto"/>
                <w:sz w:val="18"/>
                <w:szCs w:val="18"/>
                <w:lang w:val="en-US" w:eastAsia="en-US"/>
              </w:rPr>
            </w:pPr>
            <w:r w:rsidRPr="00551D5A">
              <w:rPr>
                <w:rFonts w:asciiTheme="minorHAnsi" w:eastAsia="Times New Roman" w:hAnsiTheme="minorHAnsi" w:cstheme="minorHAnsi"/>
                <w:color w:val="auto"/>
                <w:sz w:val="18"/>
                <w:szCs w:val="18"/>
                <w:lang w:val="en-US" w:eastAsia="en-US"/>
              </w:rPr>
              <w:t>3,412</w:t>
            </w:r>
          </w:p>
        </w:tc>
      </w:tr>
      <w:tr w:rsidR="0000593A" w:rsidRPr="00551D5A" w14:paraId="5DC1EFAD" w14:textId="77777777" w:rsidTr="00997EF7">
        <w:trPr>
          <w:trHeight w:val="189"/>
        </w:trPr>
        <w:tc>
          <w:tcPr>
            <w:tcW w:w="4963" w:type="dxa"/>
            <w:tcBorders>
              <w:top w:val="single" w:sz="4" w:space="0" w:color="auto"/>
              <w:bottom w:val="single" w:sz="4" w:space="0" w:color="auto"/>
            </w:tcBorders>
            <w:shd w:val="clear" w:color="auto" w:fill="auto"/>
          </w:tcPr>
          <w:p w14:paraId="5F47377D" w14:textId="4F5CCD64" w:rsidR="0000593A" w:rsidRPr="00551D5A" w:rsidRDefault="0000593A" w:rsidP="00997EF7">
            <w:pPr>
              <w:pStyle w:val="TableBody"/>
              <w:spacing w:line="240" w:lineRule="auto"/>
              <w:ind w:left="-105" w:right="0"/>
              <w:jc w:val="left"/>
              <w:rPr>
                <w:rFonts w:asciiTheme="minorHAnsi" w:eastAsia="Times New Roman" w:hAnsiTheme="minorHAnsi" w:cstheme="minorHAnsi"/>
                <w:b/>
                <w:color w:val="auto"/>
                <w:sz w:val="18"/>
                <w:szCs w:val="18"/>
                <w:lang w:val="en-US" w:eastAsia="en-US" w:bidi="en-US"/>
              </w:rPr>
            </w:pPr>
            <w:r w:rsidRPr="00551D5A">
              <w:rPr>
                <w:rFonts w:asciiTheme="minorHAnsi" w:eastAsia="Times New Roman" w:hAnsiTheme="minorHAnsi" w:cstheme="minorHAnsi"/>
                <w:b/>
                <w:color w:val="auto"/>
                <w:sz w:val="18"/>
                <w:szCs w:val="18"/>
                <w:lang w:val="en-US" w:eastAsia="en-US" w:bidi="en-US"/>
              </w:rPr>
              <w:t>Total comprehensive income for the</w:t>
            </w:r>
            <w:r w:rsidR="001373B6" w:rsidRPr="00551D5A">
              <w:rPr>
                <w:rFonts w:asciiTheme="minorHAnsi" w:eastAsia="Times New Roman" w:hAnsiTheme="minorHAnsi" w:cstheme="minorHAnsi"/>
                <w:b/>
                <w:color w:val="auto"/>
                <w:sz w:val="18"/>
                <w:szCs w:val="18"/>
                <w:lang w:val="en-US" w:eastAsia="en-US" w:bidi="en-US"/>
              </w:rPr>
              <w:t xml:space="preserve"> period </w:t>
            </w:r>
            <w:r w:rsidRPr="00551D5A">
              <w:rPr>
                <w:rFonts w:asciiTheme="minorHAnsi" w:eastAsia="Times New Roman" w:hAnsiTheme="minorHAnsi" w:cstheme="minorHAnsi"/>
                <w:b/>
                <w:color w:val="auto"/>
                <w:sz w:val="18"/>
                <w:szCs w:val="18"/>
                <w:lang w:val="en-US" w:eastAsia="en-US" w:bidi="en-US"/>
              </w:rPr>
              <w:t>attributable to the equity holders of the Company</w:t>
            </w:r>
          </w:p>
        </w:tc>
        <w:tc>
          <w:tcPr>
            <w:tcW w:w="1417" w:type="dxa"/>
            <w:tcBorders>
              <w:top w:val="single" w:sz="4" w:space="0" w:color="auto"/>
              <w:bottom w:val="single" w:sz="4" w:space="0" w:color="auto"/>
            </w:tcBorders>
            <w:shd w:val="clear" w:color="auto" w:fill="auto"/>
          </w:tcPr>
          <w:p w14:paraId="4A289977" w14:textId="46A6340D" w:rsidR="0000593A" w:rsidRPr="00551D5A" w:rsidRDefault="00E37CE5" w:rsidP="0000593A">
            <w:pPr>
              <w:pStyle w:val="TableBody"/>
              <w:spacing w:line="240" w:lineRule="auto"/>
              <w:ind w:left="0"/>
              <w:jc w:val="right"/>
              <w:rPr>
                <w:rFonts w:asciiTheme="minorHAnsi" w:eastAsiaTheme="minorHAnsi" w:hAnsiTheme="minorHAnsi" w:cstheme="minorHAnsi"/>
                <w:bCs/>
                <w:color w:val="auto"/>
                <w:sz w:val="18"/>
                <w:szCs w:val="18"/>
                <w:lang w:val="en-GB"/>
              </w:rPr>
            </w:pPr>
            <w:r>
              <w:rPr>
                <w:rFonts w:asciiTheme="minorHAnsi" w:eastAsiaTheme="minorHAnsi" w:hAnsiTheme="minorHAnsi" w:cstheme="minorHAnsi"/>
                <w:bCs/>
                <w:color w:val="auto"/>
                <w:sz w:val="18"/>
                <w:szCs w:val="18"/>
                <w:lang w:val="en-GB"/>
              </w:rPr>
              <w:t>4,063</w:t>
            </w:r>
          </w:p>
        </w:tc>
        <w:tc>
          <w:tcPr>
            <w:tcW w:w="1417" w:type="dxa"/>
            <w:tcBorders>
              <w:top w:val="single" w:sz="4" w:space="0" w:color="auto"/>
              <w:bottom w:val="single" w:sz="4" w:space="0" w:color="auto"/>
            </w:tcBorders>
          </w:tcPr>
          <w:p w14:paraId="73CC8492" w14:textId="314F7AD9" w:rsidR="0000593A" w:rsidRPr="00551D5A" w:rsidRDefault="001373B6" w:rsidP="0000593A">
            <w:pPr>
              <w:pStyle w:val="TableBody"/>
              <w:spacing w:line="240" w:lineRule="auto"/>
              <w:ind w:left="0"/>
              <w:jc w:val="right"/>
              <w:rPr>
                <w:rFonts w:asciiTheme="minorHAnsi" w:eastAsia="Times New Roman" w:hAnsiTheme="minorHAnsi" w:cstheme="minorHAnsi"/>
                <w:color w:val="auto"/>
                <w:sz w:val="18"/>
                <w:szCs w:val="18"/>
                <w:lang w:val="en-US" w:eastAsia="en-US"/>
              </w:rPr>
            </w:pPr>
            <w:r w:rsidRPr="00551D5A">
              <w:rPr>
                <w:rFonts w:asciiTheme="minorHAnsi" w:eastAsia="Times New Roman" w:hAnsiTheme="minorHAnsi" w:cstheme="minorHAnsi"/>
                <w:color w:val="auto"/>
                <w:sz w:val="18"/>
                <w:szCs w:val="18"/>
                <w:lang w:val="en-US" w:eastAsia="en-US"/>
              </w:rPr>
              <w:t>8,751</w:t>
            </w:r>
          </w:p>
        </w:tc>
        <w:tc>
          <w:tcPr>
            <w:tcW w:w="1418" w:type="dxa"/>
            <w:tcBorders>
              <w:top w:val="single" w:sz="4" w:space="0" w:color="auto"/>
              <w:bottom w:val="single" w:sz="4" w:space="0" w:color="auto"/>
            </w:tcBorders>
            <w:shd w:val="clear" w:color="auto" w:fill="auto"/>
          </w:tcPr>
          <w:p w14:paraId="12944905" w14:textId="65ADC48B" w:rsidR="0000593A" w:rsidRPr="00551D5A" w:rsidRDefault="0000593A" w:rsidP="0000593A">
            <w:pPr>
              <w:pStyle w:val="TableBody"/>
              <w:spacing w:line="240" w:lineRule="auto"/>
              <w:ind w:left="0"/>
              <w:jc w:val="right"/>
              <w:rPr>
                <w:rFonts w:asciiTheme="minorHAnsi" w:eastAsia="Times New Roman" w:hAnsiTheme="minorHAnsi" w:cstheme="minorHAnsi"/>
                <w:color w:val="auto"/>
                <w:sz w:val="18"/>
                <w:szCs w:val="18"/>
                <w:lang w:val="en-US" w:eastAsia="en-US"/>
              </w:rPr>
            </w:pPr>
            <w:r w:rsidRPr="00551D5A">
              <w:rPr>
                <w:rFonts w:asciiTheme="minorHAnsi" w:eastAsia="Times New Roman" w:hAnsiTheme="minorHAnsi" w:cstheme="minorHAnsi"/>
                <w:color w:val="auto"/>
                <w:sz w:val="18"/>
                <w:szCs w:val="18"/>
                <w:lang w:val="en-US" w:eastAsia="en-US"/>
              </w:rPr>
              <w:t>15,782</w:t>
            </w:r>
          </w:p>
        </w:tc>
      </w:tr>
    </w:tbl>
    <w:p w14:paraId="741495CA" w14:textId="77777777" w:rsidR="00CC7A30" w:rsidRPr="00551D5A" w:rsidRDefault="00CC7A30" w:rsidP="00CC7A30">
      <w:pPr>
        <w:pStyle w:val="Body"/>
        <w:spacing w:before="0" w:after="0" w:line="240" w:lineRule="auto"/>
        <w:ind w:left="0"/>
        <w:jc w:val="both"/>
        <w:rPr>
          <w:rFonts w:asciiTheme="minorHAnsi" w:hAnsiTheme="minorHAnsi" w:cstheme="minorHAnsi"/>
          <w:color w:val="auto"/>
          <w:sz w:val="18"/>
          <w:szCs w:val="18"/>
        </w:rPr>
      </w:pPr>
    </w:p>
    <w:p w14:paraId="54C34D55" w14:textId="77777777" w:rsidR="00CC7A30" w:rsidRPr="00551D5A" w:rsidRDefault="00CC7A30" w:rsidP="00CC7A30">
      <w:pPr>
        <w:pStyle w:val="Headings"/>
        <w:spacing w:before="0" w:after="0"/>
        <w:ind w:left="0"/>
        <w:jc w:val="both"/>
        <w:rPr>
          <w:rFonts w:asciiTheme="minorHAnsi" w:hAnsiTheme="minorHAnsi" w:cstheme="minorHAnsi"/>
          <w:color w:val="auto"/>
          <w:sz w:val="18"/>
          <w:szCs w:val="18"/>
          <w:lang w:val="en-US"/>
        </w:rPr>
      </w:pPr>
      <w:r w:rsidRPr="00551D5A">
        <w:rPr>
          <w:rFonts w:asciiTheme="minorHAnsi" w:hAnsiTheme="minorHAnsi" w:cstheme="minorHAnsi"/>
          <w:color w:val="auto"/>
          <w:sz w:val="18"/>
          <w:szCs w:val="18"/>
          <w:u w:val="single"/>
        </w:rPr>
        <w:br w:type="page"/>
      </w:r>
      <w:r w:rsidRPr="00551D5A">
        <w:rPr>
          <w:rFonts w:asciiTheme="minorHAnsi" w:hAnsiTheme="minorHAnsi" w:cstheme="minorHAnsi"/>
          <w:color w:val="auto"/>
          <w:sz w:val="18"/>
          <w:szCs w:val="18"/>
          <w:lang w:val="en-US"/>
        </w:rPr>
        <w:lastRenderedPageBreak/>
        <w:t>Consolidated Statement of Financial Position</w:t>
      </w:r>
    </w:p>
    <w:p w14:paraId="627A0C52" w14:textId="77777777" w:rsidR="001373B6" w:rsidRPr="00551D5A" w:rsidRDefault="001373B6" w:rsidP="001373B6">
      <w:pPr>
        <w:pStyle w:val="Headings"/>
        <w:spacing w:before="0" w:after="0"/>
        <w:ind w:left="0"/>
        <w:jc w:val="both"/>
        <w:rPr>
          <w:rFonts w:asciiTheme="minorHAnsi" w:hAnsiTheme="minorHAnsi" w:cstheme="minorHAnsi"/>
          <w:color w:val="auto"/>
          <w:sz w:val="18"/>
          <w:szCs w:val="18"/>
          <w:lang w:val="en-US"/>
        </w:rPr>
      </w:pPr>
    </w:p>
    <w:p w14:paraId="6DBC324D" w14:textId="77777777" w:rsidR="001373B6" w:rsidRPr="00551D5A" w:rsidRDefault="001373B6" w:rsidP="001373B6">
      <w:pPr>
        <w:pStyle w:val="Headings"/>
        <w:spacing w:before="0" w:after="0"/>
        <w:ind w:left="0"/>
        <w:jc w:val="both"/>
        <w:rPr>
          <w:rFonts w:asciiTheme="minorHAnsi" w:hAnsiTheme="minorHAnsi" w:cstheme="minorHAnsi"/>
          <w:color w:val="auto"/>
          <w:sz w:val="18"/>
          <w:szCs w:val="18"/>
          <w:lang w:val="en-US"/>
        </w:rPr>
      </w:pPr>
    </w:p>
    <w:tbl>
      <w:tblPr>
        <w:tblW w:w="9214" w:type="dxa"/>
        <w:tblLayout w:type="fixed"/>
        <w:tblLook w:val="04A0" w:firstRow="1" w:lastRow="0" w:firstColumn="1" w:lastColumn="0" w:noHBand="0" w:noVBand="1"/>
      </w:tblPr>
      <w:tblGrid>
        <w:gridCol w:w="4962"/>
        <w:gridCol w:w="1417"/>
        <w:gridCol w:w="1417"/>
        <w:gridCol w:w="1418"/>
      </w:tblGrid>
      <w:tr w:rsidR="00551D5A" w:rsidRPr="00551D5A" w14:paraId="09DCB2B0" w14:textId="77777777" w:rsidTr="00997EF7">
        <w:trPr>
          <w:trHeight w:val="424"/>
        </w:trPr>
        <w:tc>
          <w:tcPr>
            <w:tcW w:w="4962" w:type="dxa"/>
            <w:tcBorders>
              <w:top w:val="nil"/>
              <w:left w:val="nil"/>
              <w:bottom w:val="nil"/>
              <w:right w:val="nil"/>
            </w:tcBorders>
            <w:shd w:val="clear" w:color="000000" w:fill="FFFFFF"/>
            <w:noWrap/>
            <w:vAlign w:val="bottom"/>
            <w:hideMark/>
          </w:tcPr>
          <w:p w14:paraId="7B395959" w14:textId="77777777" w:rsidR="001373B6" w:rsidRPr="00846EEE" w:rsidRDefault="001373B6" w:rsidP="001373B6">
            <w:pPr>
              <w:spacing w:after="0" w:line="240" w:lineRule="auto"/>
              <w:rPr>
                <w:rFonts w:asciiTheme="minorHAnsi" w:hAnsiTheme="minorHAnsi" w:cstheme="minorHAnsi"/>
                <w:color w:val="000000"/>
                <w:sz w:val="18"/>
                <w:szCs w:val="18"/>
              </w:rPr>
            </w:pPr>
            <w:r w:rsidRPr="00846EEE">
              <w:rPr>
                <w:rFonts w:asciiTheme="minorHAnsi" w:hAnsiTheme="minorHAnsi" w:cstheme="minorHAnsi"/>
                <w:color w:val="000000"/>
                <w:sz w:val="18"/>
                <w:szCs w:val="18"/>
              </w:rPr>
              <w:t> </w:t>
            </w:r>
          </w:p>
        </w:tc>
        <w:tc>
          <w:tcPr>
            <w:tcW w:w="1417" w:type="dxa"/>
            <w:tcBorders>
              <w:top w:val="nil"/>
              <w:left w:val="nil"/>
              <w:bottom w:val="nil"/>
              <w:right w:val="nil"/>
            </w:tcBorders>
            <w:shd w:val="clear" w:color="000000" w:fill="FFFFFF"/>
            <w:vAlign w:val="center"/>
            <w:hideMark/>
          </w:tcPr>
          <w:p w14:paraId="668F50A6" w14:textId="77777777" w:rsidR="00876AEA" w:rsidRDefault="001373B6" w:rsidP="001E4197">
            <w:pPr>
              <w:spacing w:after="0" w:line="240" w:lineRule="auto"/>
              <w:ind w:right="-57"/>
              <w:jc w:val="right"/>
              <w:rPr>
                <w:rFonts w:asciiTheme="minorHAnsi" w:hAnsiTheme="minorHAnsi" w:cstheme="minorHAnsi"/>
                <w:b/>
                <w:bCs/>
                <w:color w:val="000000"/>
                <w:sz w:val="18"/>
                <w:szCs w:val="18"/>
              </w:rPr>
            </w:pPr>
            <w:r w:rsidRPr="00997EF7">
              <w:rPr>
                <w:rFonts w:asciiTheme="minorHAnsi" w:hAnsiTheme="minorHAnsi" w:cstheme="minorHAnsi"/>
                <w:b/>
                <w:bCs/>
                <w:color w:val="000000"/>
                <w:sz w:val="18"/>
                <w:szCs w:val="18"/>
              </w:rPr>
              <w:t xml:space="preserve">Unaudited </w:t>
            </w:r>
          </w:p>
          <w:p w14:paraId="6225AAA2" w14:textId="10D04DB3" w:rsidR="001373B6" w:rsidRPr="00997EF7" w:rsidRDefault="0017327B" w:rsidP="00997EF7">
            <w:pPr>
              <w:spacing w:after="0" w:line="240" w:lineRule="auto"/>
              <w:ind w:right="-57"/>
              <w:jc w:val="right"/>
              <w:rPr>
                <w:rFonts w:asciiTheme="minorHAnsi" w:hAnsiTheme="minorHAnsi" w:cstheme="minorHAnsi"/>
                <w:b/>
                <w:bCs/>
                <w:color w:val="000000"/>
                <w:sz w:val="18"/>
                <w:szCs w:val="18"/>
              </w:rPr>
            </w:pPr>
            <w:r>
              <w:rPr>
                <w:rFonts w:asciiTheme="minorHAnsi" w:hAnsiTheme="minorHAnsi" w:cstheme="minorHAnsi"/>
                <w:b/>
                <w:bCs/>
                <w:color w:val="000000"/>
                <w:sz w:val="18"/>
                <w:szCs w:val="18"/>
              </w:rPr>
              <w:t xml:space="preserve">As </w:t>
            </w:r>
            <w:proofErr w:type="gramStart"/>
            <w:r>
              <w:rPr>
                <w:rFonts w:asciiTheme="minorHAnsi" w:hAnsiTheme="minorHAnsi" w:cstheme="minorHAnsi"/>
                <w:b/>
                <w:bCs/>
                <w:color w:val="000000"/>
                <w:sz w:val="18"/>
                <w:szCs w:val="18"/>
              </w:rPr>
              <w:t>at</w:t>
            </w:r>
            <w:proofErr w:type="gramEnd"/>
            <w:r>
              <w:rPr>
                <w:rFonts w:asciiTheme="minorHAnsi" w:hAnsiTheme="minorHAnsi" w:cstheme="minorHAnsi"/>
                <w:b/>
                <w:bCs/>
                <w:color w:val="000000"/>
                <w:sz w:val="18"/>
                <w:szCs w:val="18"/>
              </w:rPr>
              <w:t xml:space="preserve"> </w:t>
            </w:r>
            <w:r w:rsidR="001373B6" w:rsidRPr="00997EF7">
              <w:rPr>
                <w:rFonts w:asciiTheme="minorHAnsi" w:hAnsiTheme="minorHAnsi" w:cstheme="minorHAnsi"/>
                <w:b/>
                <w:bCs/>
                <w:color w:val="000000"/>
                <w:sz w:val="18"/>
                <w:szCs w:val="18"/>
              </w:rPr>
              <w:t>31 January 2023</w:t>
            </w:r>
          </w:p>
        </w:tc>
        <w:tc>
          <w:tcPr>
            <w:tcW w:w="1417" w:type="dxa"/>
            <w:tcBorders>
              <w:top w:val="nil"/>
              <w:left w:val="nil"/>
              <w:bottom w:val="nil"/>
              <w:right w:val="nil"/>
            </w:tcBorders>
            <w:shd w:val="clear" w:color="000000" w:fill="FFFFFF"/>
            <w:vAlign w:val="center"/>
            <w:hideMark/>
          </w:tcPr>
          <w:p w14:paraId="6597401C" w14:textId="77777777" w:rsidR="00876AEA" w:rsidRDefault="001373B6" w:rsidP="001E4197">
            <w:pPr>
              <w:spacing w:after="0" w:line="240" w:lineRule="auto"/>
              <w:ind w:right="-57"/>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Unaudited  </w:t>
            </w:r>
          </w:p>
          <w:p w14:paraId="5A0FFA11" w14:textId="21CA8C00" w:rsidR="001373B6" w:rsidRPr="00846EEE" w:rsidRDefault="0017327B" w:rsidP="00997EF7">
            <w:pPr>
              <w:spacing w:after="0" w:line="240" w:lineRule="auto"/>
              <w:ind w:right="-57"/>
              <w:jc w:val="right"/>
              <w:rPr>
                <w:rFonts w:asciiTheme="minorHAnsi" w:hAnsiTheme="minorHAnsi" w:cstheme="minorHAnsi"/>
                <w:color w:val="000000"/>
                <w:sz w:val="18"/>
                <w:szCs w:val="18"/>
              </w:rPr>
            </w:pPr>
            <w:r w:rsidRPr="008B47AB">
              <w:rPr>
                <w:rFonts w:asciiTheme="minorHAnsi" w:hAnsiTheme="minorHAnsi" w:cstheme="minorHAnsi"/>
                <w:color w:val="000000"/>
                <w:sz w:val="18"/>
                <w:szCs w:val="18"/>
              </w:rPr>
              <w:t xml:space="preserve">As </w:t>
            </w:r>
            <w:proofErr w:type="gramStart"/>
            <w:r w:rsidRPr="008B47AB">
              <w:rPr>
                <w:rFonts w:asciiTheme="minorHAnsi" w:hAnsiTheme="minorHAnsi" w:cstheme="minorHAnsi"/>
                <w:color w:val="000000"/>
                <w:sz w:val="18"/>
                <w:szCs w:val="18"/>
              </w:rPr>
              <w:t>at</w:t>
            </w:r>
            <w:proofErr w:type="gramEnd"/>
            <w:r w:rsidRPr="008B47AB">
              <w:rPr>
                <w:rFonts w:asciiTheme="minorHAnsi" w:hAnsiTheme="minorHAnsi" w:cstheme="minorHAnsi"/>
                <w:color w:val="000000"/>
                <w:sz w:val="18"/>
                <w:szCs w:val="18"/>
              </w:rPr>
              <w:t xml:space="preserve"> </w:t>
            </w:r>
            <w:r w:rsidR="001373B6" w:rsidRPr="0017327B">
              <w:rPr>
                <w:rFonts w:asciiTheme="minorHAnsi" w:hAnsiTheme="minorHAnsi" w:cstheme="minorHAnsi"/>
                <w:color w:val="000000"/>
                <w:sz w:val="18"/>
                <w:szCs w:val="18"/>
              </w:rPr>
              <w:t>31 January</w:t>
            </w:r>
            <w:r w:rsidR="001373B6" w:rsidRPr="00846EEE">
              <w:rPr>
                <w:rFonts w:asciiTheme="minorHAnsi" w:hAnsiTheme="minorHAnsi" w:cstheme="minorHAnsi"/>
                <w:color w:val="000000"/>
                <w:sz w:val="18"/>
                <w:szCs w:val="18"/>
              </w:rPr>
              <w:t xml:space="preserve"> 2022</w:t>
            </w:r>
          </w:p>
        </w:tc>
        <w:tc>
          <w:tcPr>
            <w:tcW w:w="1418" w:type="dxa"/>
            <w:tcBorders>
              <w:top w:val="nil"/>
              <w:left w:val="nil"/>
              <w:bottom w:val="nil"/>
              <w:right w:val="nil"/>
            </w:tcBorders>
            <w:shd w:val="clear" w:color="000000" w:fill="FFFFFF"/>
            <w:vAlign w:val="center"/>
            <w:hideMark/>
          </w:tcPr>
          <w:p w14:paraId="6E2478CB" w14:textId="77777777" w:rsidR="00876AEA" w:rsidRDefault="001373B6" w:rsidP="00997EF7">
            <w:pPr>
              <w:spacing w:after="0" w:line="240" w:lineRule="auto"/>
              <w:ind w:right="-57"/>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Audited </w:t>
            </w:r>
          </w:p>
          <w:p w14:paraId="31F949A0" w14:textId="63292652" w:rsidR="001373B6" w:rsidRPr="00846EEE" w:rsidRDefault="0017327B" w:rsidP="00997EF7">
            <w:pPr>
              <w:spacing w:after="0" w:line="240" w:lineRule="auto"/>
              <w:ind w:right="-57"/>
              <w:jc w:val="right"/>
              <w:rPr>
                <w:rFonts w:asciiTheme="minorHAnsi" w:hAnsiTheme="minorHAnsi" w:cstheme="minorHAnsi"/>
                <w:color w:val="000000"/>
                <w:sz w:val="18"/>
                <w:szCs w:val="18"/>
              </w:rPr>
            </w:pPr>
            <w:r w:rsidRPr="008B47AB">
              <w:rPr>
                <w:rFonts w:asciiTheme="minorHAnsi" w:hAnsiTheme="minorHAnsi" w:cstheme="minorHAnsi"/>
                <w:color w:val="000000"/>
                <w:sz w:val="18"/>
                <w:szCs w:val="18"/>
              </w:rPr>
              <w:t xml:space="preserve">As </w:t>
            </w:r>
            <w:proofErr w:type="gramStart"/>
            <w:r w:rsidRPr="008B47AB">
              <w:rPr>
                <w:rFonts w:asciiTheme="minorHAnsi" w:hAnsiTheme="minorHAnsi" w:cstheme="minorHAnsi"/>
                <w:color w:val="000000"/>
                <w:sz w:val="18"/>
                <w:szCs w:val="18"/>
              </w:rPr>
              <w:t>at</w:t>
            </w:r>
            <w:proofErr w:type="gramEnd"/>
            <w:r w:rsidRPr="008B47AB">
              <w:rPr>
                <w:rFonts w:asciiTheme="minorHAnsi" w:hAnsiTheme="minorHAnsi" w:cstheme="minorHAnsi"/>
                <w:color w:val="000000"/>
                <w:sz w:val="18"/>
                <w:szCs w:val="18"/>
              </w:rPr>
              <w:t xml:space="preserve"> </w:t>
            </w:r>
            <w:r w:rsidR="001373B6" w:rsidRPr="0017327B">
              <w:rPr>
                <w:rFonts w:asciiTheme="minorHAnsi" w:hAnsiTheme="minorHAnsi" w:cstheme="minorHAnsi"/>
                <w:color w:val="000000"/>
                <w:sz w:val="18"/>
                <w:szCs w:val="18"/>
              </w:rPr>
              <w:t>31 July</w:t>
            </w:r>
            <w:r w:rsidR="001373B6" w:rsidRPr="00846EEE">
              <w:rPr>
                <w:rFonts w:asciiTheme="minorHAnsi" w:hAnsiTheme="minorHAnsi" w:cstheme="minorHAnsi"/>
                <w:color w:val="000000"/>
                <w:sz w:val="18"/>
                <w:szCs w:val="18"/>
              </w:rPr>
              <w:t xml:space="preserve"> 2022</w:t>
            </w:r>
          </w:p>
        </w:tc>
      </w:tr>
      <w:tr w:rsidR="00551D5A" w:rsidRPr="00551D5A" w14:paraId="344222BC" w14:textId="77777777" w:rsidTr="00997EF7">
        <w:trPr>
          <w:trHeight w:val="212"/>
        </w:trPr>
        <w:tc>
          <w:tcPr>
            <w:tcW w:w="4962" w:type="dxa"/>
            <w:tcBorders>
              <w:top w:val="nil"/>
              <w:left w:val="nil"/>
              <w:bottom w:val="nil"/>
              <w:right w:val="nil"/>
            </w:tcBorders>
            <w:shd w:val="clear" w:color="000000" w:fill="FFFFFF"/>
            <w:noWrap/>
            <w:vAlign w:val="bottom"/>
            <w:hideMark/>
          </w:tcPr>
          <w:p w14:paraId="2A7BB052" w14:textId="77777777" w:rsidR="001373B6" w:rsidRPr="00846EEE" w:rsidRDefault="001373B6" w:rsidP="001373B6">
            <w:pPr>
              <w:spacing w:after="0" w:line="240" w:lineRule="auto"/>
              <w:rPr>
                <w:rFonts w:asciiTheme="minorHAnsi" w:hAnsiTheme="minorHAnsi" w:cstheme="minorHAnsi"/>
                <w:color w:val="000000"/>
                <w:sz w:val="18"/>
                <w:szCs w:val="18"/>
              </w:rPr>
            </w:pPr>
            <w:r w:rsidRPr="00846EEE">
              <w:rPr>
                <w:rFonts w:asciiTheme="minorHAnsi" w:hAnsiTheme="minorHAnsi" w:cstheme="minorHAnsi"/>
                <w:color w:val="000000"/>
                <w:sz w:val="18"/>
                <w:szCs w:val="18"/>
              </w:rPr>
              <w:t> </w:t>
            </w:r>
          </w:p>
        </w:tc>
        <w:tc>
          <w:tcPr>
            <w:tcW w:w="1417" w:type="dxa"/>
            <w:tcBorders>
              <w:top w:val="nil"/>
              <w:left w:val="nil"/>
              <w:bottom w:val="nil"/>
              <w:right w:val="nil"/>
            </w:tcBorders>
            <w:shd w:val="clear" w:color="000000" w:fill="FFFFFF"/>
            <w:vAlign w:val="center"/>
            <w:hideMark/>
          </w:tcPr>
          <w:p w14:paraId="66281354" w14:textId="77777777" w:rsidR="001373B6" w:rsidRPr="00846EEE" w:rsidRDefault="001373B6" w:rsidP="00997EF7">
            <w:pPr>
              <w:spacing w:after="0" w:line="240" w:lineRule="auto"/>
              <w:ind w:right="-57"/>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£’000</w:t>
            </w:r>
          </w:p>
        </w:tc>
        <w:tc>
          <w:tcPr>
            <w:tcW w:w="1417" w:type="dxa"/>
            <w:tcBorders>
              <w:top w:val="nil"/>
              <w:left w:val="nil"/>
              <w:bottom w:val="nil"/>
              <w:right w:val="nil"/>
            </w:tcBorders>
            <w:shd w:val="clear" w:color="000000" w:fill="FFFFFF"/>
            <w:vAlign w:val="center"/>
            <w:hideMark/>
          </w:tcPr>
          <w:p w14:paraId="2A7A59AE" w14:textId="77777777" w:rsidR="001373B6" w:rsidRPr="00846EEE" w:rsidRDefault="001373B6" w:rsidP="00997EF7">
            <w:pPr>
              <w:spacing w:after="0" w:line="240" w:lineRule="auto"/>
              <w:ind w:right="-57"/>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£’000</w:t>
            </w:r>
          </w:p>
        </w:tc>
        <w:tc>
          <w:tcPr>
            <w:tcW w:w="1418" w:type="dxa"/>
            <w:tcBorders>
              <w:top w:val="nil"/>
              <w:left w:val="nil"/>
              <w:bottom w:val="nil"/>
              <w:right w:val="nil"/>
            </w:tcBorders>
            <w:shd w:val="clear" w:color="000000" w:fill="FFFFFF"/>
            <w:vAlign w:val="center"/>
            <w:hideMark/>
          </w:tcPr>
          <w:p w14:paraId="32CF2BB9" w14:textId="77777777" w:rsidR="001373B6" w:rsidRPr="00846EEE" w:rsidRDefault="001373B6" w:rsidP="00997EF7">
            <w:pPr>
              <w:spacing w:after="0" w:line="240" w:lineRule="auto"/>
              <w:ind w:right="-57"/>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£’000</w:t>
            </w:r>
          </w:p>
        </w:tc>
      </w:tr>
      <w:tr w:rsidR="00551D5A" w:rsidRPr="00551D5A" w14:paraId="6E573D5B" w14:textId="77777777" w:rsidTr="00997EF7">
        <w:trPr>
          <w:trHeight w:val="212"/>
        </w:trPr>
        <w:tc>
          <w:tcPr>
            <w:tcW w:w="4962" w:type="dxa"/>
            <w:tcBorders>
              <w:top w:val="nil"/>
              <w:left w:val="nil"/>
              <w:bottom w:val="nil"/>
              <w:right w:val="nil"/>
            </w:tcBorders>
            <w:shd w:val="clear" w:color="000000" w:fill="FFFFFF"/>
            <w:vAlign w:val="center"/>
            <w:hideMark/>
          </w:tcPr>
          <w:p w14:paraId="690EBEA9" w14:textId="77777777" w:rsidR="001373B6" w:rsidRPr="00846EEE" w:rsidRDefault="001373B6" w:rsidP="00997EF7">
            <w:pPr>
              <w:spacing w:after="0" w:line="240" w:lineRule="auto"/>
              <w:ind w:left="-105"/>
              <w:jc w:val="both"/>
              <w:rPr>
                <w:rFonts w:asciiTheme="minorHAnsi" w:hAnsiTheme="minorHAnsi" w:cstheme="minorHAnsi"/>
                <w:b/>
                <w:bCs/>
                <w:sz w:val="18"/>
                <w:szCs w:val="18"/>
              </w:rPr>
            </w:pPr>
            <w:r w:rsidRPr="00846EEE">
              <w:rPr>
                <w:rFonts w:asciiTheme="minorHAnsi" w:hAnsiTheme="minorHAnsi" w:cstheme="minorHAnsi"/>
                <w:b/>
                <w:bCs/>
                <w:sz w:val="18"/>
                <w:szCs w:val="18"/>
                <w:lang w:val="en-US"/>
              </w:rPr>
              <w:t>Assets</w:t>
            </w:r>
          </w:p>
        </w:tc>
        <w:tc>
          <w:tcPr>
            <w:tcW w:w="1417" w:type="dxa"/>
            <w:tcBorders>
              <w:top w:val="nil"/>
              <w:left w:val="nil"/>
              <w:bottom w:val="nil"/>
              <w:right w:val="nil"/>
            </w:tcBorders>
            <w:shd w:val="clear" w:color="000000" w:fill="FFFFFF"/>
            <w:noWrap/>
            <w:vAlign w:val="bottom"/>
            <w:hideMark/>
          </w:tcPr>
          <w:p w14:paraId="75B5516D" w14:textId="77777777" w:rsidR="001373B6" w:rsidRPr="00846EEE" w:rsidRDefault="001373B6" w:rsidP="00997EF7">
            <w:pPr>
              <w:spacing w:after="0" w:line="240" w:lineRule="auto"/>
              <w:ind w:right="-57"/>
              <w:rPr>
                <w:rFonts w:asciiTheme="minorHAnsi" w:hAnsiTheme="minorHAnsi" w:cstheme="minorHAnsi"/>
                <w:color w:val="000000"/>
                <w:sz w:val="18"/>
                <w:szCs w:val="18"/>
              </w:rPr>
            </w:pPr>
            <w:r w:rsidRPr="00846EEE">
              <w:rPr>
                <w:rFonts w:asciiTheme="minorHAnsi" w:hAnsiTheme="minorHAnsi" w:cstheme="minorHAnsi"/>
                <w:color w:val="000000"/>
                <w:sz w:val="18"/>
                <w:szCs w:val="18"/>
              </w:rPr>
              <w:t> </w:t>
            </w:r>
          </w:p>
        </w:tc>
        <w:tc>
          <w:tcPr>
            <w:tcW w:w="1417" w:type="dxa"/>
            <w:tcBorders>
              <w:top w:val="nil"/>
              <w:left w:val="nil"/>
              <w:bottom w:val="nil"/>
              <w:right w:val="nil"/>
            </w:tcBorders>
            <w:shd w:val="clear" w:color="000000" w:fill="FFFFFF"/>
            <w:noWrap/>
            <w:vAlign w:val="bottom"/>
            <w:hideMark/>
          </w:tcPr>
          <w:p w14:paraId="4801C25A" w14:textId="77777777" w:rsidR="001373B6" w:rsidRPr="00846EEE" w:rsidRDefault="001373B6" w:rsidP="00997EF7">
            <w:pPr>
              <w:spacing w:after="0" w:line="240" w:lineRule="auto"/>
              <w:ind w:right="-57"/>
              <w:rPr>
                <w:rFonts w:asciiTheme="minorHAnsi" w:hAnsiTheme="minorHAnsi" w:cstheme="minorHAnsi"/>
                <w:color w:val="000000"/>
                <w:sz w:val="18"/>
                <w:szCs w:val="18"/>
              </w:rPr>
            </w:pPr>
            <w:r w:rsidRPr="00846EEE">
              <w:rPr>
                <w:rFonts w:asciiTheme="minorHAnsi" w:hAnsiTheme="minorHAnsi" w:cstheme="minorHAnsi"/>
                <w:color w:val="000000"/>
                <w:sz w:val="18"/>
                <w:szCs w:val="18"/>
              </w:rPr>
              <w:t> </w:t>
            </w:r>
          </w:p>
        </w:tc>
        <w:tc>
          <w:tcPr>
            <w:tcW w:w="1418" w:type="dxa"/>
            <w:tcBorders>
              <w:top w:val="nil"/>
              <w:left w:val="nil"/>
              <w:bottom w:val="nil"/>
              <w:right w:val="nil"/>
            </w:tcBorders>
            <w:shd w:val="clear" w:color="000000" w:fill="FFFFFF"/>
            <w:noWrap/>
            <w:vAlign w:val="bottom"/>
            <w:hideMark/>
          </w:tcPr>
          <w:p w14:paraId="0689C500" w14:textId="77777777" w:rsidR="001373B6" w:rsidRPr="00846EEE" w:rsidRDefault="001373B6" w:rsidP="00997EF7">
            <w:pPr>
              <w:spacing w:after="0" w:line="240" w:lineRule="auto"/>
              <w:ind w:right="-57"/>
              <w:rPr>
                <w:rFonts w:asciiTheme="minorHAnsi" w:hAnsiTheme="minorHAnsi" w:cstheme="minorHAnsi"/>
                <w:color w:val="000000"/>
                <w:sz w:val="18"/>
                <w:szCs w:val="18"/>
              </w:rPr>
            </w:pPr>
            <w:r w:rsidRPr="00846EEE">
              <w:rPr>
                <w:rFonts w:asciiTheme="minorHAnsi" w:hAnsiTheme="minorHAnsi" w:cstheme="minorHAnsi"/>
                <w:color w:val="000000"/>
                <w:sz w:val="18"/>
                <w:szCs w:val="18"/>
              </w:rPr>
              <w:t> </w:t>
            </w:r>
          </w:p>
        </w:tc>
      </w:tr>
      <w:tr w:rsidR="00551D5A" w:rsidRPr="00551D5A" w14:paraId="44BB2DC8" w14:textId="77777777" w:rsidTr="00997EF7">
        <w:trPr>
          <w:trHeight w:val="212"/>
        </w:trPr>
        <w:tc>
          <w:tcPr>
            <w:tcW w:w="4962" w:type="dxa"/>
            <w:tcBorders>
              <w:top w:val="nil"/>
              <w:left w:val="nil"/>
              <w:bottom w:val="nil"/>
              <w:right w:val="nil"/>
            </w:tcBorders>
            <w:shd w:val="clear" w:color="000000" w:fill="FFFFFF"/>
            <w:vAlign w:val="center"/>
            <w:hideMark/>
          </w:tcPr>
          <w:p w14:paraId="23D9BA48" w14:textId="77777777" w:rsidR="001373B6" w:rsidRPr="00846EEE" w:rsidRDefault="001373B6" w:rsidP="00997EF7">
            <w:pPr>
              <w:spacing w:after="0" w:line="240" w:lineRule="auto"/>
              <w:ind w:left="-105"/>
              <w:jc w:val="both"/>
              <w:rPr>
                <w:rFonts w:asciiTheme="minorHAnsi" w:hAnsiTheme="minorHAnsi" w:cstheme="minorHAnsi"/>
                <w:sz w:val="18"/>
                <w:szCs w:val="18"/>
              </w:rPr>
            </w:pPr>
            <w:r w:rsidRPr="00846EEE">
              <w:rPr>
                <w:rFonts w:asciiTheme="minorHAnsi" w:hAnsiTheme="minorHAnsi" w:cstheme="minorHAnsi"/>
                <w:sz w:val="18"/>
                <w:szCs w:val="18"/>
                <w:lang w:val="en-US"/>
              </w:rPr>
              <w:t>Intangible assets</w:t>
            </w:r>
          </w:p>
        </w:tc>
        <w:tc>
          <w:tcPr>
            <w:tcW w:w="1417" w:type="dxa"/>
            <w:tcBorders>
              <w:top w:val="nil"/>
              <w:left w:val="nil"/>
              <w:bottom w:val="nil"/>
              <w:right w:val="nil"/>
            </w:tcBorders>
            <w:shd w:val="clear" w:color="000000" w:fill="FFFFFF"/>
            <w:noWrap/>
            <w:vAlign w:val="bottom"/>
            <w:hideMark/>
          </w:tcPr>
          <w:p w14:paraId="72CC171F" w14:textId="2A65A44A" w:rsidR="001373B6" w:rsidRPr="00846EEE" w:rsidRDefault="00E37CE5" w:rsidP="00997EF7">
            <w:pPr>
              <w:spacing w:after="0" w:line="240" w:lineRule="auto"/>
              <w:ind w:right="-108"/>
              <w:jc w:val="right"/>
              <w:rPr>
                <w:rFonts w:asciiTheme="minorHAnsi" w:hAnsiTheme="minorHAnsi" w:cstheme="minorHAnsi"/>
                <w:color w:val="000000"/>
                <w:sz w:val="18"/>
                <w:szCs w:val="18"/>
              </w:rPr>
            </w:pPr>
            <w:r>
              <w:rPr>
                <w:rFonts w:asciiTheme="minorHAnsi" w:hAnsiTheme="minorHAnsi" w:cstheme="minorHAnsi"/>
                <w:color w:val="000000"/>
                <w:sz w:val="18"/>
                <w:szCs w:val="18"/>
              </w:rPr>
              <w:t>37,014</w:t>
            </w:r>
            <w:r w:rsidR="001373B6" w:rsidRPr="00846EEE">
              <w:rPr>
                <w:rFonts w:asciiTheme="minorHAnsi" w:hAnsiTheme="minorHAnsi" w:cstheme="minorHAnsi"/>
                <w:color w:val="000000"/>
                <w:sz w:val="18"/>
                <w:szCs w:val="18"/>
              </w:rPr>
              <w:t> </w:t>
            </w:r>
          </w:p>
        </w:tc>
        <w:tc>
          <w:tcPr>
            <w:tcW w:w="1417" w:type="dxa"/>
            <w:tcBorders>
              <w:top w:val="nil"/>
              <w:left w:val="nil"/>
              <w:bottom w:val="nil"/>
              <w:right w:val="nil"/>
            </w:tcBorders>
            <w:shd w:val="clear" w:color="000000" w:fill="FFFFFF"/>
            <w:noWrap/>
            <w:vAlign w:val="bottom"/>
            <w:hideMark/>
          </w:tcPr>
          <w:p w14:paraId="1A9FFE98" w14:textId="77777777" w:rsidR="001373B6" w:rsidRPr="00846EEE" w:rsidRDefault="001373B6" w:rsidP="00997EF7">
            <w:pPr>
              <w:spacing w:after="0" w:line="240" w:lineRule="auto"/>
              <w:ind w:right="-57"/>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36,918 </w:t>
            </w:r>
          </w:p>
        </w:tc>
        <w:tc>
          <w:tcPr>
            <w:tcW w:w="1418" w:type="dxa"/>
            <w:tcBorders>
              <w:top w:val="nil"/>
              <w:left w:val="nil"/>
              <w:bottom w:val="nil"/>
              <w:right w:val="nil"/>
            </w:tcBorders>
            <w:shd w:val="clear" w:color="000000" w:fill="FFFFFF"/>
            <w:noWrap/>
            <w:vAlign w:val="bottom"/>
            <w:hideMark/>
          </w:tcPr>
          <w:p w14:paraId="06F6CA4A" w14:textId="77777777" w:rsidR="001373B6" w:rsidRPr="00846EEE" w:rsidRDefault="001373B6" w:rsidP="00997EF7">
            <w:pPr>
              <w:spacing w:after="0" w:line="240" w:lineRule="auto"/>
              <w:ind w:right="-57"/>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lang w:val="x-none"/>
              </w:rPr>
              <w:t xml:space="preserve">                37,025 </w:t>
            </w:r>
          </w:p>
        </w:tc>
      </w:tr>
      <w:tr w:rsidR="00551D5A" w:rsidRPr="00551D5A" w14:paraId="55568D66" w14:textId="77777777" w:rsidTr="00997EF7">
        <w:trPr>
          <w:trHeight w:val="225"/>
        </w:trPr>
        <w:tc>
          <w:tcPr>
            <w:tcW w:w="4962" w:type="dxa"/>
            <w:tcBorders>
              <w:top w:val="nil"/>
              <w:left w:val="nil"/>
              <w:bottom w:val="single" w:sz="8" w:space="0" w:color="auto"/>
              <w:right w:val="nil"/>
            </w:tcBorders>
            <w:shd w:val="clear" w:color="000000" w:fill="FFFFFF"/>
            <w:vAlign w:val="center"/>
            <w:hideMark/>
          </w:tcPr>
          <w:p w14:paraId="5BD834A3" w14:textId="77777777" w:rsidR="001373B6" w:rsidRPr="00846EEE" w:rsidRDefault="001373B6" w:rsidP="00997EF7">
            <w:pPr>
              <w:spacing w:after="0" w:line="240" w:lineRule="auto"/>
              <w:ind w:left="-105"/>
              <w:jc w:val="both"/>
              <w:rPr>
                <w:rFonts w:asciiTheme="minorHAnsi" w:hAnsiTheme="minorHAnsi" w:cstheme="minorHAnsi"/>
                <w:sz w:val="18"/>
                <w:szCs w:val="18"/>
              </w:rPr>
            </w:pPr>
            <w:r w:rsidRPr="00846EEE">
              <w:rPr>
                <w:rFonts w:asciiTheme="minorHAnsi" w:hAnsiTheme="minorHAnsi" w:cstheme="minorHAnsi"/>
                <w:sz w:val="18"/>
                <w:szCs w:val="18"/>
                <w:lang w:val="en-US"/>
              </w:rPr>
              <w:t xml:space="preserve">Property, </w:t>
            </w:r>
            <w:proofErr w:type="gramStart"/>
            <w:r w:rsidRPr="00846EEE">
              <w:rPr>
                <w:rFonts w:asciiTheme="minorHAnsi" w:hAnsiTheme="minorHAnsi" w:cstheme="minorHAnsi"/>
                <w:sz w:val="18"/>
                <w:szCs w:val="18"/>
                <w:lang w:val="en-US"/>
              </w:rPr>
              <w:t>plant</w:t>
            </w:r>
            <w:proofErr w:type="gramEnd"/>
            <w:r w:rsidRPr="00846EEE">
              <w:rPr>
                <w:rFonts w:asciiTheme="minorHAnsi" w:hAnsiTheme="minorHAnsi" w:cstheme="minorHAnsi"/>
                <w:sz w:val="18"/>
                <w:szCs w:val="18"/>
                <w:lang w:val="en-US"/>
              </w:rPr>
              <w:t xml:space="preserve"> and equipment</w:t>
            </w:r>
          </w:p>
        </w:tc>
        <w:tc>
          <w:tcPr>
            <w:tcW w:w="1417" w:type="dxa"/>
            <w:tcBorders>
              <w:top w:val="nil"/>
              <w:left w:val="nil"/>
              <w:bottom w:val="single" w:sz="8" w:space="0" w:color="auto"/>
              <w:right w:val="nil"/>
            </w:tcBorders>
            <w:shd w:val="clear" w:color="000000" w:fill="FFFFFF"/>
            <w:noWrap/>
            <w:vAlign w:val="bottom"/>
            <w:hideMark/>
          </w:tcPr>
          <w:p w14:paraId="10682909" w14:textId="70BA6347" w:rsidR="001373B6" w:rsidRPr="00846EEE" w:rsidRDefault="00E37CE5" w:rsidP="00997EF7">
            <w:pPr>
              <w:spacing w:after="0" w:line="240" w:lineRule="auto"/>
              <w:ind w:right="-108"/>
              <w:jc w:val="right"/>
              <w:rPr>
                <w:rFonts w:asciiTheme="minorHAnsi" w:hAnsiTheme="minorHAnsi" w:cstheme="minorHAnsi"/>
                <w:color w:val="000000"/>
                <w:sz w:val="18"/>
                <w:szCs w:val="18"/>
              </w:rPr>
            </w:pPr>
            <w:r>
              <w:rPr>
                <w:rFonts w:asciiTheme="minorHAnsi" w:hAnsiTheme="minorHAnsi" w:cstheme="minorHAnsi"/>
                <w:color w:val="000000"/>
                <w:sz w:val="18"/>
                <w:szCs w:val="18"/>
              </w:rPr>
              <w:t>5,606</w:t>
            </w:r>
            <w:r w:rsidR="001373B6" w:rsidRPr="00846EEE">
              <w:rPr>
                <w:rFonts w:asciiTheme="minorHAnsi" w:hAnsiTheme="minorHAnsi" w:cstheme="minorHAnsi"/>
                <w:color w:val="000000"/>
                <w:sz w:val="18"/>
                <w:szCs w:val="18"/>
              </w:rPr>
              <w:t> </w:t>
            </w:r>
          </w:p>
        </w:tc>
        <w:tc>
          <w:tcPr>
            <w:tcW w:w="1417" w:type="dxa"/>
            <w:tcBorders>
              <w:top w:val="nil"/>
              <w:left w:val="nil"/>
              <w:bottom w:val="single" w:sz="8" w:space="0" w:color="auto"/>
              <w:right w:val="nil"/>
            </w:tcBorders>
            <w:shd w:val="clear" w:color="000000" w:fill="FFFFFF"/>
            <w:noWrap/>
            <w:vAlign w:val="bottom"/>
            <w:hideMark/>
          </w:tcPr>
          <w:p w14:paraId="06FAED41" w14:textId="77777777" w:rsidR="001373B6" w:rsidRPr="00846EEE" w:rsidRDefault="001373B6" w:rsidP="00997EF7">
            <w:pPr>
              <w:spacing w:after="0" w:line="240" w:lineRule="auto"/>
              <w:ind w:right="-57"/>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5,663 </w:t>
            </w:r>
          </w:p>
        </w:tc>
        <w:tc>
          <w:tcPr>
            <w:tcW w:w="1418" w:type="dxa"/>
            <w:tcBorders>
              <w:top w:val="nil"/>
              <w:left w:val="nil"/>
              <w:bottom w:val="single" w:sz="8" w:space="0" w:color="auto"/>
              <w:right w:val="nil"/>
            </w:tcBorders>
            <w:shd w:val="clear" w:color="000000" w:fill="FFFFFF"/>
            <w:noWrap/>
            <w:vAlign w:val="bottom"/>
            <w:hideMark/>
          </w:tcPr>
          <w:p w14:paraId="636C85D1" w14:textId="77777777" w:rsidR="001373B6" w:rsidRPr="00846EEE" w:rsidRDefault="001373B6" w:rsidP="00997EF7">
            <w:pPr>
              <w:spacing w:after="0" w:line="240" w:lineRule="auto"/>
              <w:ind w:right="-57"/>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lang w:val="x-none"/>
              </w:rPr>
              <w:t xml:space="preserve">                  6,369 </w:t>
            </w:r>
          </w:p>
        </w:tc>
      </w:tr>
      <w:tr w:rsidR="00551D5A" w:rsidRPr="00551D5A" w14:paraId="2A39D5BB" w14:textId="77777777" w:rsidTr="00997EF7">
        <w:trPr>
          <w:trHeight w:val="225"/>
        </w:trPr>
        <w:tc>
          <w:tcPr>
            <w:tcW w:w="4962" w:type="dxa"/>
            <w:tcBorders>
              <w:top w:val="nil"/>
              <w:left w:val="nil"/>
              <w:bottom w:val="single" w:sz="8" w:space="0" w:color="auto"/>
              <w:right w:val="nil"/>
            </w:tcBorders>
            <w:shd w:val="clear" w:color="000000" w:fill="FFFFFF"/>
            <w:vAlign w:val="center"/>
            <w:hideMark/>
          </w:tcPr>
          <w:p w14:paraId="747B6029" w14:textId="77777777" w:rsidR="001373B6" w:rsidRPr="00846EEE" w:rsidRDefault="001373B6" w:rsidP="00997EF7">
            <w:pPr>
              <w:spacing w:after="0" w:line="240" w:lineRule="auto"/>
              <w:ind w:left="-105"/>
              <w:jc w:val="both"/>
              <w:rPr>
                <w:rFonts w:asciiTheme="minorHAnsi" w:hAnsiTheme="minorHAnsi" w:cstheme="minorHAnsi"/>
                <w:b/>
                <w:bCs/>
                <w:sz w:val="18"/>
                <w:szCs w:val="18"/>
              </w:rPr>
            </w:pPr>
            <w:r w:rsidRPr="00846EEE">
              <w:rPr>
                <w:rFonts w:asciiTheme="minorHAnsi" w:hAnsiTheme="minorHAnsi" w:cstheme="minorHAnsi"/>
                <w:b/>
                <w:bCs/>
                <w:sz w:val="18"/>
                <w:szCs w:val="18"/>
                <w:lang w:val="en-US"/>
              </w:rPr>
              <w:t>Total non-current assets</w:t>
            </w:r>
          </w:p>
        </w:tc>
        <w:tc>
          <w:tcPr>
            <w:tcW w:w="1417" w:type="dxa"/>
            <w:tcBorders>
              <w:top w:val="nil"/>
              <w:left w:val="nil"/>
              <w:bottom w:val="single" w:sz="8" w:space="0" w:color="auto"/>
              <w:right w:val="nil"/>
            </w:tcBorders>
            <w:shd w:val="clear" w:color="000000" w:fill="FFFFFF"/>
            <w:noWrap/>
            <w:vAlign w:val="bottom"/>
            <w:hideMark/>
          </w:tcPr>
          <w:p w14:paraId="3C250A7E" w14:textId="558E372F" w:rsidR="001373B6" w:rsidRPr="00846EEE" w:rsidRDefault="00E37CE5" w:rsidP="00997EF7">
            <w:pPr>
              <w:spacing w:after="0" w:line="240" w:lineRule="auto"/>
              <w:ind w:right="-108"/>
              <w:jc w:val="right"/>
              <w:rPr>
                <w:rFonts w:asciiTheme="minorHAnsi" w:hAnsiTheme="minorHAnsi" w:cstheme="minorHAnsi"/>
                <w:color w:val="000000"/>
                <w:sz w:val="18"/>
                <w:szCs w:val="18"/>
              </w:rPr>
            </w:pPr>
            <w:r>
              <w:rPr>
                <w:rFonts w:asciiTheme="minorHAnsi" w:hAnsiTheme="minorHAnsi" w:cstheme="minorHAnsi"/>
                <w:color w:val="000000"/>
                <w:sz w:val="18"/>
                <w:szCs w:val="18"/>
              </w:rPr>
              <w:t>42,620</w:t>
            </w:r>
            <w:r w:rsidR="001373B6" w:rsidRPr="00846EEE">
              <w:rPr>
                <w:rFonts w:asciiTheme="minorHAnsi" w:hAnsiTheme="minorHAnsi" w:cstheme="minorHAnsi"/>
                <w:color w:val="000000"/>
                <w:sz w:val="18"/>
                <w:szCs w:val="18"/>
              </w:rPr>
              <w:t> </w:t>
            </w:r>
          </w:p>
        </w:tc>
        <w:tc>
          <w:tcPr>
            <w:tcW w:w="1417" w:type="dxa"/>
            <w:tcBorders>
              <w:top w:val="nil"/>
              <w:left w:val="nil"/>
              <w:bottom w:val="single" w:sz="8" w:space="0" w:color="auto"/>
              <w:right w:val="nil"/>
            </w:tcBorders>
            <w:shd w:val="clear" w:color="000000" w:fill="FFFFFF"/>
            <w:noWrap/>
            <w:vAlign w:val="bottom"/>
            <w:hideMark/>
          </w:tcPr>
          <w:p w14:paraId="74105884" w14:textId="77777777" w:rsidR="001373B6" w:rsidRPr="00846EEE" w:rsidRDefault="001373B6" w:rsidP="00997EF7">
            <w:pPr>
              <w:spacing w:after="0" w:line="240" w:lineRule="auto"/>
              <w:ind w:right="-57"/>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42,581 </w:t>
            </w:r>
          </w:p>
        </w:tc>
        <w:tc>
          <w:tcPr>
            <w:tcW w:w="1418" w:type="dxa"/>
            <w:tcBorders>
              <w:top w:val="nil"/>
              <w:left w:val="nil"/>
              <w:bottom w:val="single" w:sz="8" w:space="0" w:color="auto"/>
              <w:right w:val="nil"/>
            </w:tcBorders>
            <w:shd w:val="clear" w:color="000000" w:fill="FFFFFF"/>
            <w:noWrap/>
            <w:vAlign w:val="bottom"/>
            <w:hideMark/>
          </w:tcPr>
          <w:p w14:paraId="3220AA81" w14:textId="77777777" w:rsidR="001373B6" w:rsidRPr="00846EEE" w:rsidRDefault="001373B6" w:rsidP="00997EF7">
            <w:pPr>
              <w:spacing w:after="0" w:line="240" w:lineRule="auto"/>
              <w:ind w:right="-57"/>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lang w:val="x-none"/>
              </w:rPr>
              <w:t xml:space="preserve">                43,394 </w:t>
            </w:r>
          </w:p>
        </w:tc>
      </w:tr>
      <w:tr w:rsidR="00551D5A" w:rsidRPr="00551D5A" w14:paraId="004DE555" w14:textId="77777777" w:rsidTr="00997EF7">
        <w:trPr>
          <w:trHeight w:val="212"/>
        </w:trPr>
        <w:tc>
          <w:tcPr>
            <w:tcW w:w="4962" w:type="dxa"/>
            <w:tcBorders>
              <w:top w:val="nil"/>
              <w:left w:val="nil"/>
              <w:bottom w:val="nil"/>
              <w:right w:val="nil"/>
            </w:tcBorders>
            <w:shd w:val="clear" w:color="000000" w:fill="FFFFFF"/>
            <w:vAlign w:val="center"/>
            <w:hideMark/>
          </w:tcPr>
          <w:p w14:paraId="07C929A0" w14:textId="77777777" w:rsidR="001373B6" w:rsidRPr="00846EEE" w:rsidRDefault="001373B6" w:rsidP="00997EF7">
            <w:pPr>
              <w:spacing w:after="0" w:line="240" w:lineRule="auto"/>
              <w:ind w:left="-105"/>
              <w:jc w:val="both"/>
              <w:rPr>
                <w:rFonts w:asciiTheme="minorHAnsi" w:hAnsiTheme="minorHAnsi" w:cstheme="minorHAnsi"/>
                <w:b/>
                <w:bCs/>
                <w:sz w:val="18"/>
                <w:szCs w:val="18"/>
              </w:rPr>
            </w:pPr>
            <w:r w:rsidRPr="00846EEE">
              <w:rPr>
                <w:rFonts w:asciiTheme="minorHAnsi" w:hAnsiTheme="minorHAnsi" w:cstheme="minorHAnsi"/>
                <w:b/>
                <w:bCs/>
                <w:sz w:val="18"/>
                <w:szCs w:val="18"/>
                <w:lang w:val="en-US"/>
              </w:rPr>
              <w:t> </w:t>
            </w:r>
          </w:p>
        </w:tc>
        <w:tc>
          <w:tcPr>
            <w:tcW w:w="1417" w:type="dxa"/>
            <w:tcBorders>
              <w:top w:val="nil"/>
              <w:left w:val="nil"/>
              <w:bottom w:val="nil"/>
              <w:right w:val="nil"/>
            </w:tcBorders>
            <w:shd w:val="clear" w:color="000000" w:fill="FFFFFF"/>
            <w:noWrap/>
            <w:vAlign w:val="bottom"/>
            <w:hideMark/>
          </w:tcPr>
          <w:p w14:paraId="4B4E8590" w14:textId="77777777" w:rsidR="001373B6" w:rsidRPr="00846EEE" w:rsidRDefault="001373B6" w:rsidP="00997EF7">
            <w:pPr>
              <w:spacing w:after="0" w:line="240" w:lineRule="auto"/>
              <w:ind w:right="-108"/>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w:t>
            </w:r>
          </w:p>
        </w:tc>
        <w:tc>
          <w:tcPr>
            <w:tcW w:w="1417" w:type="dxa"/>
            <w:tcBorders>
              <w:top w:val="nil"/>
              <w:left w:val="nil"/>
              <w:bottom w:val="nil"/>
              <w:right w:val="nil"/>
            </w:tcBorders>
            <w:shd w:val="clear" w:color="000000" w:fill="FFFFFF"/>
            <w:noWrap/>
            <w:vAlign w:val="bottom"/>
            <w:hideMark/>
          </w:tcPr>
          <w:p w14:paraId="1E66C61F" w14:textId="77777777" w:rsidR="001373B6" w:rsidRPr="00846EEE" w:rsidRDefault="001373B6" w:rsidP="00997EF7">
            <w:pPr>
              <w:spacing w:after="0" w:line="240" w:lineRule="auto"/>
              <w:ind w:right="-57"/>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w:t>
            </w:r>
          </w:p>
        </w:tc>
        <w:tc>
          <w:tcPr>
            <w:tcW w:w="1418" w:type="dxa"/>
            <w:tcBorders>
              <w:top w:val="nil"/>
              <w:left w:val="nil"/>
              <w:bottom w:val="nil"/>
              <w:right w:val="nil"/>
            </w:tcBorders>
            <w:shd w:val="clear" w:color="000000" w:fill="FFFFFF"/>
            <w:noWrap/>
            <w:vAlign w:val="bottom"/>
            <w:hideMark/>
          </w:tcPr>
          <w:p w14:paraId="67CB60CF" w14:textId="77777777" w:rsidR="001373B6" w:rsidRPr="00846EEE" w:rsidRDefault="001373B6" w:rsidP="00997EF7">
            <w:pPr>
              <w:spacing w:after="0" w:line="240" w:lineRule="auto"/>
              <w:ind w:right="-57"/>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lang w:val="en-US"/>
              </w:rPr>
              <w:t> </w:t>
            </w:r>
          </w:p>
        </w:tc>
      </w:tr>
      <w:tr w:rsidR="00551D5A" w:rsidRPr="00551D5A" w14:paraId="595C2176" w14:textId="77777777" w:rsidTr="00997EF7">
        <w:trPr>
          <w:trHeight w:val="212"/>
        </w:trPr>
        <w:tc>
          <w:tcPr>
            <w:tcW w:w="4962" w:type="dxa"/>
            <w:tcBorders>
              <w:top w:val="nil"/>
              <w:left w:val="nil"/>
              <w:bottom w:val="nil"/>
              <w:right w:val="nil"/>
            </w:tcBorders>
            <w:shd w:val="clear" w:color="000000" w:fill="FFFFFF"/>
            <w:vAlign w:val="center"/>
            <w:hideMark/>
          </w:tcPr>
          <w:p w14:paraId="47639238" w14:textId="77777777" w:rsidR="001373B6" w:rsidRPr="00846EEE" w:rsidRDefault="001373B6" w:rsidP="00997EF7">
            <w:pPr>
              <w:spacing w:after="0" w:line="240" w:lineRule="auto"/>
              <w:ind w:left="-105"/>
              <w:jc w:val="both"/>
              <w:rPr>
                <w:rFonts w:asciiTheme="minorHAnsi" w:hAnsiTheme="minorHAnsi" w:cstheme="minorHAnsi"/>
                <w:sz w:val="18"/>
                <w:szCs w:val="18"/>
              </w:rPr>
            </w:pPr>
            <w:r w:rsidRPr="00846EEE">
              <w:rPr>
                <w:rFonts w:asciiTheme="minorHAnsi" w:hAnsiTheme="minorHAnsi" w:cstheme="minorHAnsi"/>
                <w:sz w:val="18"/>
                <w:szCs w:val="18"/>
                <w:lang w:val="en-US"/>
              </w:rPr>
              <w:t>Inventories</w:t>
            </w:r>
          </w:p>
        </w:tc>
        <w:tc>
          <w:tcPr>
            <w:tcW w:w="1417" w:type="dxa"/>
            <w:tcBorders>
              <w:top w:val="nil"/>
              <w:left w:val="nil"/>
              <w:bottom w:val="nil"/>
              <w:right w:val="nil"/>
            </w:tcBorders>
            <w:shd w:val="clear" w:color="000000" w:fill="FFFFFF"/>
            <w:noWrap/>
            <w:vAlign w:val="bottom"/>
            <w:hideMark/>
          </w:tcPr>
          <w:p w14:paraId="51ED4BDB" w14:textId="2CDD4052" w:rsidR="001373B6" w:rsidRPr="00846EEE" w:rsidRDefault="00E37CE5" w:rsidP="00997EF7">
            <w:pPr>
              <w:spacing w:after="0" w:line="240" w:lineRule="auto"/>
              <w:ind w:right="-108"/>
              <w:jc w:val="right"/>
              <w:rPr>
                <w:rFonts w:asciiTheme="minorHAnsi" w:hAnsiTheme="minorHAnsi" w:cstheme="minorHAnsi"/>
                <w:color w:val="000000"/>
                <w:sz w:val="18"/>
                <w:szCs w:val="18"/>
              </w:rPr>
            </w:pPr>
            <w:r>
              <w:rPr>
                <w:rFonts w:asciiTheme="minorHAnsi" w:hAnsiTheme="minorHAnsi" w:cstheme="minorHAnsi"/>
                <w:color w:val="000000"/>
                <w:sz w:val="18"/>
                <w:szCs w:val="18"/>
              </w:rPr>
              <w:t>27,290</w:t>
            </w:r>
            <w:r w:rsidR="001373B6" w:rsidRPr="00846EEE">
              <w:rPr>
                <w:rFonts w:asciiTheme="minorHAnsi" w:hAnsiTheme="minorHAnsi" w:cstheme="minorHAnsi"/>
                <w:color w:val="000000"/>
                <w:sz w:val="18"/>
                <w:szCs w:val="18"/>
              </w:rPr>
              <w:t> </w:t>
            </w:r>
          </w:p>
        </w:tc>
        <w:tc>
          <w:tcPr>
            <w:tcW w:w="1417" w:type="dxa"/>
            <w:tcBorders>
              <w:top w:val="nil"/>
              <w:left w:val="nil"/>
              <w:bottom w:val="nil"/>
              <w:right w:val="nil"/>
            </w:tcBorders>
            <w:shd w:val="clear" w:color="000000" w:fill="FFFFFF"/>
            <w:noWrap/>
            <w:vAlign w:val="bottom"/>
            <w:hideMark/>
          </w:tcPr>
          <w:p w14:paraId="1783ECCC" w14:textId="77777777" w:rsidR="001373B6" w:rsidRPr="00846EEE" w:rsidRDefault="001373B6" w:rsidP="00997EF7">
            <w:pPr>
              <w:spacing w:after="0" w:line="240" w:lineRule="auto"/>
              <w:ind w:right="-57"/>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27,093 </w:t>
            </w:r>
          </w:p>
        </w:tc>
        <w:tc>
          <w:tcPr>
            <w:tcW w:w="1418" w:type="dxa"/>
            <w:tcBorders>
              <w:top w:val="nil"/>
              <w:left w:val="nil"/>
              <w:bottom w:val="nil"/>
              <w:right w:val="nil"/>
            </w:tcBorders>
            <w:shd w:val="clear" w:color="000000" w:fill="FFFFFF"/>
            <w:noWrap/>
            <w:vAlign w:val="bottom"/>
            <w:hideMark/>
          </w:tcPr>
          <w:p w14:paraId="3B201897" w14:textId="77777777" w:rsidR="001373B6" w:rsidRPr="00846EEE" w:rsidRDefault="001373B6" w:rsidP="00997EF7">
            <w:pPr>
              <w:spacing w:after="0" w:line="240" w:lineRule="auto"/>
              <w:ind w:right="-57"/>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lang w:val="x-none"/>
              </w:rPr>
              <w:t xml:space="preserve">                29,162 </w:t>
            </w:r>
          </w:p>
        </w:tc>
      </w:tr>
      <w:tr w:rsidR="00551D5A" w:rsidRPr="00551D5A" w14:paraId="680D7F4F" w14:textId="77777777" w:rsidTr="00997EF7">
        <w:trPr>
          <w:trHeight w:val="212"/>
        </w:trPr>
        <w:tc>
          <w:tcPr>
            <w:tcW w:w="4962" w:type="dxa"/>
            <w:tcBorders>
              <w:top w:val="nil"/>
              <w:left w:val="nil"/>
              <w:bottom w:val="nil"/>
              <w:right w:val="nil"/>
            </w:tcBorders>
            <w:shd w:val="clear" w:color="000000" w:fill="FFFFFF"/>
            <w:vAlign w:val="center"/>
            <w:hideMark/>
          </w:tcPr>
          <w:p w14:paraId="3E7C8615" w14:textId="77777777" w:rsidR="001373B6" w:rsidRPr="00846EEE" w:rsidRDefault="001373B6" w:rsidP="00997EF7">
            <w:pPr>
              <w:spacing w:after="0" w:line="240" w:lineRule="auto"/>
              <w:ind w:left="-105"/>
              <w:jc w:val="both"/>
              <w:rPr>
                <w:rFonts w:asciiTheme="minorHAnsi" w:hAnsiTheme="minorHAnsi" w:cstheme="minorHAnsi"/>
                <w:sz w:val="18"/>
                <w:szCs w:val="18"/>
              </w:rPr>
            </w:pPr>
            <w:r w:rsidRPr="00846EEE">
              <w:rPr>
                <w:rFonts w:asciiTheme="minorHAnsi" w:hAnsiTheme="minorHAnsi" w:cstheme="minorHAnsi"/>
                <w:sz w:val="18"/>
                <w:szCs w:val="18"/>
                <w:lang w:val="en-US"/>
              </w:rPr>
              <w:t>Trade and other receivables</w:t>
            </w:r>
          </w:p>
        </w:tc>
        <w:tc>
          <w:tcPr>
            <w:tcW w:w="1417" w:type="dxa"/>
            <w:tcBorders>
              <w:top w:val="nil"/>
              <w:left w:val="nil"/>
              <w:bottom w:val="nil"/>
              <w:right w:val="nil"/>
            </w:tcBorders>
            <w:shd w:val="clear" w:color="000000" w:fill="FFFFFF"/>
            <w:noWrap/>
            <w:vAlign w:val="bottom"/>
            <w:hideMark/>
          </w:tcPr>
          <w:p w14:paraId="4A30A1C7" w14:textId="4373EA5E" w:rsidR="001373B6" w:rsidRPr="00846EEE" w:rsidRDefault="00E37CE5" w:rsidP="00997EF7">
            <w:pPr>
              <w:spacing w:after="0" w:line="240" w:lineRule="auto"/>
              <w:ind w:right="-108"/>
              <w:jc w:val="right"/>
              <w:rPr>
                <w:rFonts w:asciiTheme="minorHAnsi" w:hAnsiTheme="minorHAnsi" w:cstheme="minorHAnsi"/>
                <w:color w:val="000000"/>
                <w:sz w:val="18"/>
                <w:szCs w:val="18"/>
              </w:rPr>
            </w:pPr>
            <w:r>
              <w:rPr>
                <w:rFonts w:asciiTheme="minorHAnsi" w:hAnsiTheme="minorHAnsi" w:cstheme="minorHAnsi"/>
                <w:color w:val="000000"/>
                <w:sz w:val="18"/>
                <w:szCs w:val="18"/>
              </w:rPr>
              <w:t>3</w:t>
            </w:r>
            <w:r w:rsidR="00D71434">
              <w:rPr>
                <w:rFonts w:asciiTheme="minorHAnsi" w:hAnsiTheme="minorHAnsi" w:cstheme="minorHAnsi"/>
                <w:color w:val="000000"/>
                <w:sz w:val="18"/>
                <w:szCs w:val="18"/>
              </w:rPr>
              <w:t>4,323</w:t>
            </w:r>
            <w:r w:rsidR="001373B6" w:rsidRPr="00846EEE">
              <w:rPr>
                <w:rFonts w:asciiTheme="minorHAnsi" w:hAnsiTheme="minorHAnsi" w:cstheme="minorHAnsi"/>
                <w:color w:val="000000"/>
                <w:sz w:val="18"/>
                <w:szCs w:val="18"/>
              </w:rPr>
              <w:t> </w:t>
            </w:r>
          </w:p>
        </w:tc>
        <w:tc>
          <w:tcPr>
            <w:tcW w:w="1417" w:type="dxa"/>
            <w:tcBorders>
              <w:top w:val="nil"/>
              <w:left w:val="nil"/>
              <w:bottom w:val="nil"/>
              <w:right w:val="nil"/>
            </w:tcBorders>
            <w:shd w:val="clear" w:color="000000" w:fill="FFFFFF"/>
            <w:noWrap/>
            <w:vAlign w:val="bottom"/>
            <w:hideMark/>
          </w:tcPr>
          <w:p w14:paraId="46BB3A71" w14:textId="77777777" w:rsidR="001373B6" w:rsidRPr="00846EEE" w:rsidRDefault="001373B6" w:rsidP="00997EF7">
            <w:pPr>
              <w:spacing w:after="0" w:line="240" w:lineRule="auto"/>
              <w:ind w:right="-57"/>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37,753 </w:t>
            </w:r>
          </w:p>
        </w:tc>
        <w:tc>
          <w:tcPr>
            <w:tcW w:w="1418" w:type="dxa"/>
            <w:tcBorders>
              <w:top w:val="nil"/>
              <w:left w:val="nil"/>
              <w:bottom w:val="nil"/>
              <w:right w:val="nil"/>
            </w:tcBorders>
            <w:shd w:val="clear" w:color="000000" w:fill="FFFFFF"/>
            <w:noWrap/>
            <w:vAlign w:val="bottom"/>
            <w:hideMark/>
          </w:tcPr>
          <w:p w14:paraId="17BDD127" w14:textId="77777777" w:rsidR="001373B6" w:rsidRPr="00846EEE" w:rsidRDefault="001373B6" w:rsidP="00997EF7">
            <w:pPr>
              <w:spacing w:after="0" w:line="240" w:lineRule="auto"/>
              <w:ind w:right="-57"/>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lang w:val="x-none"/>
              </w:rPr>
              <w:t xml:space="preserve">                32,194 </w:t>
            </w:r>
          </w:p>
        </w:tc>
      </w:tr>
      <w:tr w:rsidR="00551D5A" w:rsidRPr="00551D5A" w14:paraId="2721146F" w14:textId="77777777" w:rsidTr="00997EF7">
        <w:trPr>
          <w:trHeight w:val="212"/>
        </w:trPr>
        <w:tc>
          <w:tcPr>
            <w:tcW w:w="4962" w:type="dxa"/>
            <w:tcBorders>
              <w:top w:val="nil"/>
              <w:left w:val="nil"/>
              <w:bottom w:val="nil"/>
              <w:right w:val="nil"/>
            </w:tcBorders>
            <w:shd w:val="clear" w:color="000000" w:fill="FFFFFF"/>
            <w:vAlign w:val="center"/>
            <w:hideMark/>
          </w:tcPr>
          <w:p w14:paraId="68D9F81A" w14:textId="77777777" w:rsidR="001373B6" w:rsidRPr="00846EEE" w:rsidRDefault="001373B6" w:rsidP="00997EF7">
            <w:pPr>
              <w:spacing w:after="0" w:line="240" w:lineRule="auto"/>
              <w:ind w:left="-105"/>
              <w:jc w:val="both"/>
              <w:rPr>
                <w:rFonts w:asciiTheme="minorHAnsi" w:hAnsiTheme="minorHAnsi" w:cstheme="minorHAnsi"/>
                <w:sz w:val="18"/>
                <w:szCs w:val="18"/>
              </w:rPr>
            </w:pPr>
            <w:r w:rsidRPr="00846EEE">
              <w:rPr>
                <w:rFonts w:asciiTheme="minorHAnsi" w:hAnsiTheme="minorHAnsi" w:cstheme="minorHAnsi"/>
                <w:sz w:val="18"/>
                <w:szCs w:val="18"/>
                <w:lang w:val="en-US"/>
              </w:rPr>
              <w:t xml:space="preserve">Derivative financial instruments  </w:t>
            </w:r>
          </w:p>
        </w:tc>
        <w:tc>
          <w:tcPr>
            <w:tcW w:w="1417" w:type="dxa"/>
            <w:tcBorders>
              <w:top w:val="nil"/>
              <w:left w:val="nil"/>
              <w:bottom w:val="nil"/>
              <w:right w:val="nil"/>
            </w:tcBorders>
            <w:shd w:val="clear" w:color="000000" w:fill="FFFFFF"/>
            <w:noWrap/>
            <w:vAlign w:val="bottom"/>
            <w:hideMark/>
          </w:tcPr>
          <w:p w14:paraId="0D0FE7B2" w14:textId="467553FA" w:rsidR="001373B6" w:rsidRPr="00846EEE" w:rsidRDefault="009D69FC" w:rsidP="00997EF7">
            <w:pPr>
              <w:spacing w:after="0" w:line="240" w:lineRule="auto"/>
              <w:ind w:right="-108"/>
              <w:jc w:val="right"/>
              <w:rPr>
                <w:rFonts w:asciiTheme="minorHAnsi" w:hAnsiTheme="minorHAnsi" w:cstheme="minorHAnsi"/>
                <w:color w:val="000000"/>
                <w:sz w:val="18"/>
                <w:szCs w:val="18"/>
              </w:rPr>
            </w:pPr>
            <w:r>
              <w:rPr>
                <w:rFonts w:asciiTheme="minorHAnsi" w:hAnsiTheme="minorHAnsi" w:cstheme="minorHAnsi"/>
                <w:color w:val="000000"/>
                <w:sz w:val="18"/>
                <w:szCs w:val="18"/>
              </w:rPr>
              <w:t>913</w:t>
            </w:r>
            <w:r w:rsidR="001373B6" w:rsidRPr="00846EEE">
              <w:rPr>
                <w:rFonts w:asciiTheme="minorHAnsi" w:hAnsiTheme="minorHAnsi" w:cstheme="minorHAnsi"/>
                <w:color w:val="000000"/>
                <w:sz w:val="18"/>
                <w:szCs w:val="18"/>
              </w:rPr>
              <w:t> </w:t>
            </w:r>
          </w:p>
        </w:tc>
        <w:tc>
          <w:tcPr>
            <w:tcW w:w="1417" w:type="dxa"/>
            <w:tcBorders>
              <w:top w:val="nil"/>
              <w:left w:val="nil"/>
              <w:bottom w:val="nil"/>
              <w:right w:val="nil"/>
            </w:tcBorders>
            <w:shd w:val="clear" w:color="000000" w:fill="FFFFFF"/>
            <w:noWrap/>
            <w:vAlign w:val="bottom"/>
            <w:hideMark/>
          </w:tcPr>
          <w:p w14:paraId="363860DF" w14:textId="77777777" w:rsidR="001373B6" w:rsidRPr="00846EEE" w:rsidRDefault="001373B6" w:rsidP="00997EF7">
            <w:pPr>
              <w:spacing w:after="0" w:line="240" w:lineRule="auto"/>
              <w:ind w:right="-57"/>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1,327 </w:t>
            </w:r>
          </w:p>
        </w:tc>
        <w:tc>
          <w:tcPr>
            <w:tcW w:w="1418" w:type="dxa"/>
            <w:tcBorders>
              <w:top w:val="nil"/>
              <w:left w:val="nil"/>
              <w:bottom w:val="nil"/>
              <w:right w:val="nil"/>
            </w:tcBorders>
            <w:shd w:val="clear" w:color="000000" w:fill="FFFFFF"/>
            <w:noWrap/>
            <w:vAlign w:val="bottom"/>
            <w:hideMark/>
          </w:tcPr>
          <w:p w14:paraId="2BE9103F" w14:textId="77777777" w:rsidR="001373B6" w:rsidRPr="00846EEE" w:rsidRDefault="001373B6" w:rsidP="00997EF7">
            <w:pPr>
              <w:spacing w:after="0" w:line="240" w:lineRule="auto"/>
              <w:ind w:right="-57"/>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lang w:val="x-none"/>
              </w:rPr>
              <w:t xml:space="preserve">                  4,142 </w:t>
            </w:r>
          </w:p>
        </w:tc>
      </w:tr>
      <w:tr w:rsidR="00551D5A" w:rsidRPr="00551D5A" w14:paraId="09805710" w14:textId="77777777" w:rsidTr="00997EF7">
        <w:trPr>
          <w:trHeight w:val="225"/>
        </w:trPr>
        <w:tc>
          <w:tcPr>
            <w:tcW w:w="4962" w:type="dxa"/>
            <w:tcBorders>
              <w:top w:val="nil"/>
              <w:left w:val="nil"/>
              <w:bottom w:val="single" w:sz="8" w:space="0" w:color="auto"/>
              <w:right w:val="nil"/>
            </w:tcBorders>
            <w:shd w:val="clear" w:color="000000" w:fill="FFFFFF"/>
            <w:vAlign w:val="center"/>
            <w:hideMark/>
          </w:tcPr>
          <w:p w14:paraId="3B19AE1B" w14:textId="77777777" w:rsidR="001373B6" w:rsidRPr="00846EEE" w:rsidRDefault="001373B6" w:rsidP="00997EF7">
            <w:pPr>
              <w:spacing w:after="0" w:line="240" w:lineRule="auto"/>
              <w:ind w:left="-105"/>
              <w:jc w:val="both"/>
              <w:rPr>
                <w:rFonts w:asciiTheme="minorHAnsi" w:hAnsiTheme="minorHAnsi" w:cstheme="minorHAnsi"/>
                <w:sz w:val="18"/>
                <w:szCs w:val="18"/>
              </w:rPr>
            </w:pPr>
            <w:r w:rsidRPr="00846EEE">
              <w:rPr>
                <w:rFonts w:asciiTheme="minorHAnsi" w:hAnsiTheme="minorHAnsi" w:cstheme="minorHAnsi"/>
                <w:sz w:val="18"/>
                <w:szCs w:val="18"/>
                <w:lang w:val="en-US"/>
              </w:rPr>
              <w:t>Cash and cash equivalents</w:t>
            </w:r>
          </w:p>
        </w:tc>
        <w:tc>
          <w:tcPr>
            <w:tcW w:w="1417" w:type="dxa"/>
            <w:tcBorders>
              <w:top w:val="nil"/>
              <w:left w:val="nil"/>
              <w:bottom w:val="single" w:sz="8" w:space="0" w:color="auto"/>
              <w:right w:val="nil"/>
            </w:tcBorders>
            <w:shd w:val="clear" w:color="000000" w:fill="FFFFFF"/>
            <w:noWrap/>
            <w:vAlign w:val="bottom"/>
            <w:hideMark/>
          </w:tcPr>
          <w:p w14:paraId="63391C18" w14:textId="6CAA57BE" w:rsidR="001373B6" w:rsidRPr="00846EEE" w:rsidRDefault="00E37CE5" w:rsidP="00997EF7">
            <w:pPr>
              <w:spacing w:after="0" w:line="240" w:lineRule="auto"/>
              <w:ind w:right="-108"/>
              <w:jc w:val="right"/>
              <w:rPr>
                <w:rFonts w:asciiTheme="minorHAnsi" w:hAnsiTheme="minorHAnsi" w:cstheme="minorHAnsi"/>
                <w:color w:val="000000"/>
                <w:sz w:val="18"/>
                <w:szCs w:val="18"/>
              </w:rPr>
            </w:pPr>
            <w:r>
              <w:rPr>
                <w:rFonts w:asciiTheme="minorHAnsi" w:hAnsiTheme="minorHAnsi" w:cstheme="minorHAnsi"/>
                <w:color w:val="000000"/>
                <w:sz w:val="18"/>
                <w:szCs w:val="18"/>
              </w:rPr>
              <w:t>5,004</w:t>
            </w:r>
            <w:r w:rsidR="001373B6" w:rsidRPr="00846EEE">
              <w:rPr>
                <w:rFonts w:asciiTheme="minorHAnsi" w:hAnsiTheme="minorHAnsi" w:cstheme="minorHAnsi"/>
                <w:color w:val="000000"/>
                <w:sz w:val="18"/>
                <w:szCs w:val="18"/>
              </w:rPr>
              <w:t> </w:t>
            </w:r>
          </w:p>
        </w:tc>
        <w:tc>
          <w:tcPr>
            <w:tcW w:w="1417" w:type="dxa"/>
            <w:tcBorders>
              <w:top w:val="nil"/>
              <w:left w:val="nil"/>
              <w:bottom w:val="single" w:sz="8" w:space="0" w:color="auto"/>
              <w:right w:val="nil"/>
            </w:tcBorders>
            <w:shd w:val="clear" w:color="000000" w:fill="FFFFFF"/>
            <w:noWrap/>
            <w:vAlign w:val="bottom"/>
            <w:hideMark/>
          </w:tcPr>
          <w:p w14:paraId="20F7C034" w14:textId="77777777" w:rsidR="001373B6" w:rsidRPr="00846EEE" w:rsidRDefault="001373B6" w:rsidP="00997EF7">
            <w:pPr>
              <w:spacing w:after="0" w:line="240" w:lineRule="auto"/>
              <w:ind w:right="-57"/>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257 </w:t>
            </w:r>
          </w:p>
        </w:tc>
        <w:tc>
          <w:tcPr>
            <w:tcW w:w="1418" w:type="dxa"/>
            <w:tcBorders>
              <w:top w:val="nil"/>
              <w:left w:val="nil"/>
              <w:bottom w:val="single" w:sz="8" w:space="0" w:color="auto"/>
              <w:right w:val="nil"/>
            </w:tcBorders>
            <w:shd w:val="clear" w:color="000000" w:fill="FFFFFF"/>
            <w:noWrap/>
            <w:vAlign w:val="bottom"/>
            <w:hideMark/>
          </w:tcPr>
          <w:p w14:paraId="5B954B8D" w14:textId="77777777" w:rsidR="001373B6" w:rsidRPr="00846EEE" w:rsidRDefault="001373B6" w:rsidP="00997EF7">
            <w:pPr>
              <w:spacing w:after="0" w:line="240" w:lineRule="auto"/>
              <w:ind w:right="-57"/>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lang w:val="x-none"/>
              </w:rPr>
              <w:t xml:space="preserve">                  6,202 </w:t>
            </w:r>
          </w:p>
        </w:tc>
      </w:tr>
      <w:tr w:rsidR="00551D5A" w:rsidRPr="00551D5A" w14:paraId="4D2C9A9C" w14:textId="77777777" w:rsidTr="00997EF7">
        <w:trPr>
          <w:trHeight w:val="225"/>
        </w:trPr>
        <w:tc>
          <w:tcPr>
            <w:tcW w:w="4962" w:type="dxa"/>
            <w:tcBorders>
              <w:top w:val="nil"/>
              <w:left w:val="nil"/>
              <w:bottom w:val="single" w:sz="8" w:space="0" w:color="auto"/>
              <w:right w:val="nil"/>
            </w:tcBorders>
            <w:shd w:val="clear" w:color="000000" w:fill="FFFFFF"/>
            <w:vAlign w:val="center"/>
            <w:hideMark/>
          </w:tcPr>
          <w:p w14:paraId="1B98B770" w14:textId="77777777" w:rsidR="001373B6" w:rsidRPr="00846EEE" w:rsidRDefault="001373B6" w:rsidP="00997EF7">
            <w:pPr>
              <w:spacing w:after="0" w:line="240" w:lineRule="auto"/>
              <w:ind w:left="-105"/>
              <w:jc w:val="both"/>
              <w:rPr>
                <w:rFonts w:asciiTheme="minorHAnsi" w:hAnsiTheme="minorHAnsi" w:cstheme="minorHAnsi"/>
                <w:b/>
                <w:bCs/>
                <w:sz w:val="18"/>
                <w:szCs w:val="18"/>
              </w:rPr>
            </w:pPr>
            <w:r w:rsidRPr="00846EEE">
              <w:rPr>
                <w:rFonts w:asciiTheme="minorHAnsi" w:hAnsiTheme="minorHAnsi" w:cstheme="minorHAnsi"/>
                <w:b/>
                <w:bCs/>
                <w:sz w:val="18"/>
                <w:szCs w:val="18"/>
                <w:lang w:val="en-US"/>
              </w:rPr>
              <w:t>Total current assets</w:t>
            </w:r>
          </w:p>
        </w:tc>
        <w:tc>
          <w:tcPr>
            <w:tcW w:w="1417" w:type="dxa"/>
            <w:tcBorders>
              <w:top w:val="nil"/>
              <w:left w:val="nil"/>
              <w:bottom w:val="single" w:sz="8" w:space="0" w:color="auto"/>
              <w:right w:val="nil"/>
            </w:tcBorders>
            <w:shd w:val="clear" w:color="000000" w:fill="FFFFFF"/>
            <w:noWrap/>
            <w:vAlign w:val="bottom"/>
            <w:hideMark/>
          </w:tcPr>
          <w:p w14:paraId="4CC2071F" w14:textId="50F2EACB" w:rsidR="001373B6" w:rsidRPr="00846EEE" w:rsidRDefault="00E37CE5" w:rsidP="00997EF7">
            <w:pPr>
              <w:spacing w:after="0" w:line="240" w:lineRule="auto"/>
              <w:ind w:right="-108"/>
              <w:jc w:val="right"/>
              <w:rPr>
                <w:rFonts w:asciiTheme="minorHAnsi" w:hAnsiTheme="minorHAnsi" w:cstheme="minorHAnsi"/>
                <w:color w:val="000000"/>
                <w:sz w:val="18"/>
                <w:szCs w:val="18"/>
              </w:rPr>
            </w:pPr>
            <w:r>
              <w:rPr>
                <w:rFonts w:asciiTheme="minorHAnsi" w:hAnsiTheme="minorHAnsi" w:cstheme="minorHAnsi"/>
                <w:color w:val="000000"/>
                <w:sz w:val="18"/>
                <w:szCs w:val="18"/>
              </w:rPr>
              <w:t>6</w:t>
            </w:r>
            <w:r w:rsidR="00D71434">
              <w:rPr>
                <w:rFonts w:asciiTheme="minorHAnsi" w:hAnsiTheme="minorHAnsi" w:cstheme="minorHAnsi"/>
                <w:color w:val="000000"/>
                <w:sz w:val="18"/>
                <w:szCs w:val="18"/>
              </w:rPr>
              <w:t>7,530</w:t>
            </w:r>
            <w:r w:rsidR="001373B6" w:rsidRPr="00846EEE">
              <w:rPr>
                <w:rFonts w:asciiTheme="minorHAnsi" w:hAnsiTheme="minorHAnsi" w:cstheme="minorHAnsi"/>
                <w:color w:val="000000"/>
                <w:sz w:val="18"/>
                <w:szCs w:val="18"/>
              </w:rPr>
              <w:t> </w:t>
            </w:r>
          </w:p>
        </w:tc>
        <w:tc>
          <w:tcPr>
            <w:tcW w:w="1417" w:type="dxa"/>
            <w:tcBorders>
              <w:top w:val="nil"/>
              <w:left w:val="nil"/>
              <w:bottom w:val="single" w:sz="8" w:space="0" w:color="auto"/>
              <w:right w:val="nil"/>
            </w:tcBorders>
            <w:shd w:val="clear" w:color="000000" w:fill="FFFFFF"/>
            <w:noWrap/>
            <w:vAlign w:val="bottom"/>
            <w:hideMark/>
          </w:tcPr>
          <w:p w14:paraId="4A981C62" w14:textId="77777777" w:rsidR="001373B6" w:rsidRPr="00846EEE" w:rsidRDefault="001373B6" w:rsidP="00997EF7">
            <w:pPr>
              <w:spacing w:after="0" w:line="240" w:lineRule="auto"/>
              <w:ind w:right="-57"/>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66,430 </w:t>
            </w:r>
          </w:p>
        </w:tc>
        <w:tc>
          <w:tcPr>
            <w:tcW w:w="1418" w:type="dxa"/>
            <w:tcBorders>
              <w:top w:val="nil"/>
              <w:left w:val="nil"/>
              <w:bottom w:val="single" w:sz="8" w:space="0" w:color="auto"/>
              <w:right w:val="nil"/>
            </w:tcBorders>
            <w:shd w:val="clear" w:color="000000" w:fill="FFFFFF"/>
            <w:noWrap/>
            <w:vAlign w:val="bottom"/>
            <w:hideMark/>
          </w:tcPr>
          <w:p w14:paraId="4885B990" w14:textId="77777777" w:rsidR="001373B6" w:rsidRPr="00846EEE" w:rsidRDefault="001373B6" w:rsidP="00997EF7">
            <w:pPr>
              <w:spacing w:after="0" w:line="240" w:lineRule="auto"/>
              <w:ind w:right="-57"/>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lang w:val="x-none"/>
              </w:rPr>
              <w:t xml:space="preserve">                71,700 </w:t>
            </w:r>
          </w:p>
        </w:tc>
      </w:tr>
      <w:tr w:rsidR="00551D5A" w:rsidRPr="00551D5A" w14:paraId="2577D8C7" w14:textId="77777777" w:rsidTr="00997EF7">
        <w:trPr>
          <w:trHeight w:val="225"/>
        </w:trPr>
        <w:tc>
          <w:tcPr>
            <w:tcW w:w="4962" w:type="dxa"/>
            <w:tcBorders>
              <w:top w:val="nil"/>
              <w:left w:val="nil"/>
              <w:bottom w:val="single" w:sz="8" w:space="0" w:color="auto"/>
              <w:right w:val="nil"/>
            </w:tcBorders>
            <w:shd w:val="clear" w:color="000000" w:fill="FFFFFF"/>
            <w:vAlign w:val="center"/>
            <w:hideMark/>
          </w:tcPr>
          <w:p w14:paraId="43342F95" w14:textId="77777777" w:rsidR="001373B6" w:rsidRPr="00846EEE" w:rsidRDefault="001373B6" w:rsidP="00997EF7">
            <w:pPr>
              <w:spacing w:after="0" w:line="240" w:lineRule="auto"/>
              <w:ind w:left="-105"/>
              <w:jc w:val="both"/>
              <w:rPr>
                <w:rFonts w:asciiTheme="minorHAnsi" w:hAnsiTheme="minorHAnsi" w:cstheme="minorHAnsi"/>
                <w:b/>
                <w:bCs/>
                <w:sz w:val="18"/>
                <w:szCs w:val="18"/>
              </w:rPr>
            </w:pPr>
            <w:r w:rsidRPr="00846EEE">
              <w:rPr>
                <w:rFonts w:asciiTheme="minorHAnsi" w:hAnsiTheme="minorHAnsi" w:cstheme="minorHAnsi"/>
                <w:b/>
                <w:bCs/>
                <w:sz w:val="18"/>
                <w:szCs w:val="18"/>
                <w:lang w:val="en-US"/>
              </w:rPr>
              <w:t>Total assets</w:t>
            </w:r>
          </w:p>
        </w:tc>
        <w:tc>
          <w:tcPr>
            <w:tcW w:w="1417" w:type="dxa"/>
            <w:tcBorders>
              <w:top w:val="nil"/>
              <w:left w:val="nil"/>
              <w:bottom w:val="single" w:sz="8" w:space="0" w:color="auto"/>
              <w:right w:val="nil"/>
            </w:tcBorders>
            <w:shd w:val="clear" w:color="000000" w:fill="FFFFFF"/>
            <w:noWrap/>
            <w:vAlign w:val="bottom"/>
            <w:hideMark/>
          </w:tcPr>
          <w:p w14:paraId="441249F6" w14:textId="12265500" w:rsidR="001373B6" w:rsidRPr="00846EEE" w:rsidRDefault="00E37CE5" w:rsidP="00997EF7">
            <w:pPr>
              <w:spacing w:after="0" w:line="240" w:lineRule="auto"/>
              <w:ind w:right="-108"/>
              <w:jc w:val="right"/>
              <w:rPr>
                <w:rFonts w:asciiTheme="minorHAnsi" w:hAnsiTheme="minorHAnsi" w:cstheme="minorHAnsi"/>
                <w:color w:val="000000"/>
                <w:sz w:val="18"/>
                <w:szCs w:val="18"/>
              </w:rPr>
            </w:pPr>
            <w:r>
              <w:rPr>
                <w:rFonts w:asciiTheme="minorHAnsi" w:hAnsiTheme="minorHAnsi" w:cstheme="minorHAnsi"/>
                <w:color w:val="000000"/>
                <w:sz w:val="18"/>
                <w:szCs w:val="18"/>
              </w:rPr>
              <w:t>1</w:t>
            </w:r>
            <w:r w:rsidR="00D71434">
              <w:rPr>
                <w:rFonts w:asciiTheme="minorHAnsi" w:hAnsiTheme="minorHAnsi" w:cstheme="minorHAnsi"/>
                <w:color w:val="000000"/>
                <w:sz w:val="18"/>
                <w:szCs w:val="18"/>
              </w:rPr>
              <w:t>10,150</w:t>
            </w:r>
            <w:r w:rsidR="001373B6" w:rsidRPr="00846EEE">
              <w:rPr>
                <w:rFonts w:asciiTheme="minorHAnsi" w:hAnsiTheme="minorHAnsi" w:cstheme="minorHAnsi"/>
                <w:color w:val="000000"/>
                <w:sz w:val="18"/>
                <w:szCs w:val="18"/>
              </w:rPr>
              <w:t> </w:t>
            </w:r>
          </w:p>
        </w:tc>
        <w:tc>
          <w:tcPr>
            <w:tcW w:w="1417" w:type="dxa"/>
            <w:tcBorders>
              <w:top w:val="nil"/>
              <w:left w:val="nil"/>
              <w:bottom w:val="single" w:sz="8" w:space="0" w:color="auto"/>
              <w:right w:val="nil"/>
            </w:tcBorders>
            <w:shd w:val="clear" w:color="000000" w:fill="FFFFFF"/>
            <w:noWrap/>
            <w:vAlign w:val="bottom"/>
            <w:hideMark/>
          </w:tcPr>
          <w:p w14:paraId="0CAC2C40" w14:textId="77777777" w:rsidR="001373B6" w:rsidRPr="00846EEE" w:rsidRDefault="001373B6" w:rsidP="00997EF7">
            <w:pPr>
              <w:spacing w:after="0" w:line="240" w:lineRule="auto"/>
              <w:ind w:right="-57"/>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109,011 </w:t>
            </w:r>
          </w:p>
        </w:tc>
        <w:tc>
          <w:tcPr>
            <w:tcW w:w="1418" w:type="dxa"/>
            <w:tcBorders>
              <w:top w:val="nil"/>
              <w:left w:val="nil"/>
              <w:bottom w:val="single" w:sz="8" w:space="0" w:color="auto"/>
              <w:right w:val="nil"/>
            </w:tcBorders>
            <w:shd w:val="clear" w:color="000000" w:fill="FFFFFF"/>
            <w:noWrap/>
            <w:vAlign w:val="bottom"/>
            <w:hideMark/>
          </w:tcPr>
          <w:p w14:paraId="442A4A79" w14:textId="77777777" w:rsidR="001373B6" w:rsidRPr="00846EEE" w:rsidRDefault="001373B6" w:rsidP="00997EF7">
            <w:pPr>
              <w:spacing w:after="0" w:line="240" w:lineRule="auto"/>
              <w:ind w:right="-57"/>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lang w:val="x-none"/>
              </w:rPr>
              <w:t xml:space="preserve">              115,094 </w:t>
            </w:r>
          </w:p>
        </w:tc>
      </w:tr>
      <w:tr w:rsidR="00551D5A" w:rsidRPr="00551D5A" w14:paraId="318D106E" w14:textId="77777777" w:rsidTr="00997EF7">
        <w:trPr>
          <w:trHeight w:val="212"/>
        </w:trPr>
        <w:tc>
          <w:tcPr>
            <w:tcW w:w="4962" w:type="dxa"/>
            <w:tcBorders>
              <w:top w:val="nil"/>
              <w:left w:val="nil"/>
              <w:bottom w:val="nil"/>
              <w:right w:val="nil"/>
            </w:tcBorders>
            <w:shd w:val="clear" w:color="000000" w:fill="FFFFFF"/>
            <w:vAlign w:val="center"/>
            <w:hideMark/>
          </w:tcPr>
          <w:p w14:paraId="01C41573" w14:textId="77777777" w:rsidR="001373B6" w:rsidRPr="00846EEE" w:rsidRDefault="001373B6" w:rsidP="00997EF7">
            <w:pPr>
              <w:spacing w:after="0" w:line="240" w:lineRule="auto"/>
              <w:ind w:left="-105"/>
              <w:jc w:val="both"/>
              <w:rPr>
                <w:rFonts w:asciiTheme="minorHAnsi" w:hAnsiTheme="minorHAnsi" w:cstheme="minorHAnsi"/>
                <w:b/>
                <w:bCs/>
                <w:sz w:val="18"/>
                <w:szCs w:val="18"/>
              </w:rPr>
            </w:pPr>
            <w:r w:rsidRPr="00846EEE">
              <w:rPr>
                <w:rFonts w:asciiTheme="minorHAnsi" w:hAnsiTheme="minorHAnsi" w:cstheme="minorHAnsi"/>
                <w:b/>
                <w:bCs/>
                <w:sz w:val="18"/>
                <w:szCs w:val="18"/>
                <w:lang w:val="en-US"/>
              </w:rPr>
              <w:t> </w:t>
            </w:r>
          </w:p>
        </w:tc>
        <w:tc>
          <w:tcPr>
            <w:tcW w:w="1417" w:type="dxa"/>
            <w:tcBorders>
              <w:top w:val="nil"/>
              <w:left w:val="nil"/>
              <w:bottom w:val="nil"/>
              <w:right w:val="nil"/>
            </w:tcBorders>
            <w:shd w:val="clear" w:color="000000" w:fill="FFFFFF"/>
            <w:noWrap/>
            <w:vAlign w:val="bottom"/>
            <w:hideMark/>
          </w:tcPr>
          <w:p w14:paraId="5A77975F" w14:textId="77777777" w:rsidR="001373B6" w:rsidRPr="00846EEE" w:rsidRDefault="001373B6" w:rsidP="00997EF7">
            <w:pPr>
              <w:spacing w:after="0" w:line="240" w:lineRule="auto"/>
              <w:ind w:right="-108"/>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w:t>
            </w:r>
          </w:p>
        </w:tc>
        <w:tc>
          <w:tcPr>
            <w:tcW w:w="1417" w:type="dxa"/>
            <w:tcBorders>
              <w:top w:val="nil"/>
              <w:left w:val="nil"/>
              <w:bottom w:val="nil"/>
              <w:right w:val="nil"/>
            </w:tcBorders>
            <w:shd w:val="clear" w:color="000000" w:fill="FFFFFF"/>
            <w:noWrap/>
            <w:vAlign w:val="bottom"/>
            <w:hideMark/>
          </w:tcPr>
          <w:p w14:paraId="38F6F301" w14:textId="77777777" w:rsidR="001373B6" w:rsidRPr="00846EEE" w:rsidRDefault="001373B6" w:rsidP="00997EF7">
            <w:pPr>
              <w:spacing w:after="0" w:line="240" w:lineRule="auto"/>
              <w:ind w:right="-57"/>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w:t>
            </w:r>
          </w:p>
        </w:tc>
        <w:tc>
          <w:tcPr>
            <w:tcW w:w="1418" w:type="dxa"/>
            <w:tcBorders>
              <w:top w:val="nil"/>
              <w:left w:val="nil"/>
              <w:bottom w:val="nil"/>
              <w:right w:val="nil"/>
            </w:tcBorders>
            <w:shd w:val="clear" w:color="000000" w:fill="FFFFFF"/>
            <w:noWrap/>
            <w:vAlign w:val="bottom"/>
            <w:hideMark/>
          </w:tcPr>
          <w:p w14:paraId="74D52F86" w14:textId="77777777" w:rsidR="001373B6" w:rsidRPr="00846EEE" w:rsidRDefault="001373B6" w:rsidP="00997EF7">
            <w:pPr>
              <w:spacing w:after="0" w:line="240" w:lineRule="auto"/>
              <w:ind w:right="-57"/>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lang w:val="en-US"/>
              </w:rPr>
              <w:t> </w:t>
            </w:r>
          </w:p>
        </w:tc>
      </w:tr>
      <w:tr w:rsidR="00551D5A" w:rsidRPr="00551D5A" w14:paraId="6C29BA40" w14:textId="77777777" w:rsidTr="00997EF7">
        <w:trPr>
          <w:trHeight w:val="212"/>
        </w:trPr>
        <w:tc>
          <w:tcPr>
            <w:tcW w:w="4962" w:type="dxa"/>
            <w:tcBorders>
              <w:top w:val="nil"/>
              <w:left w:val="nil"/>
              <w:bottom w:val="nil"/>
              <w:right w:val="nil"/>
            </w:tcBorders>
            <w:shd w:val="clear" w:color="000000" w:fill="FFFFFF"/>
            <w:vAlign w:val="center"/>
            <w:hideMark/>
          </w:tcPr>
          <w:p w14:paraId="0BBC2368" w14:textId="77777777" w:rsidR="001373B6" w:rsidRPr="00846EEE" w:rsidRDefault="001373B6" w:rsidP="00997EF7">
            <w:pPr>
              <w:spacing w:after="0" w:line="240" w:lineRule="auto"/>
              <w:ind w:left="-105"/>
              <w:jc w:val="both"/>
              <w:rPr>
                <w:rFonts w:asciiTheme="minorHAnsi" w:hAnsiTheme="minorHAnsi" w:cstheme="minorHAnsi"/>
                <w:b/>
                <w:bCs/>
                <w:sz w:val="18"/>
                <w:szCs w:val="18"/>
              </w:rPr>
            </w:pPr>
            <w:r w:rsidRPr="00846EEE">
              <w:rPr>
                <w:rFonts w:asciiTheme="minorHAnsi" w:hAnsiTheme="minorHAnsi" w:cstheme="minorHAnsi"/>
                <w:b/>
                <w:bCs/>
                <w:sz w:val="18"/>
                <w:szCs w:val="18"/>
                <w:lang w:val="en-US"/>
              </w:rPr>
              <w:t>Liabilities</w:t>
            </w:r>
          </w:p>
        </w:tc>
        <w:tc>
          <w:tcPr>
            <w:tcW w:w="1417" w:type="dxa"/>
            <w:tcBorders>
              <w:top w:val="nil"/>
              <w:left w:val="nil"/>
              <w:bottom w:val="nil"/>
              <w:right w:val="nil"/>
            </w:tcBorders>
            <w:shd w:val="clear" w:color="000000" w:fill="FFFFFF"/>
            <w:noWrap/>
            <w:vAlign w:val="bottom"/>
            <w:hideMark/>
          </w:tcPr>
          <w:p w14:paraId="4BA6FF48" w14:textId="77777777" w:rsidR="001373B6" w:rsidRPr="00846EEE" w:rsidRDefault="001373B6" w:rsidP="00997EF7">
            <w:pPr>
              <w:spacing w:after="0" w:line="240" w:lineRule="auto"/>
              <w:ind w:right="-108"/>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w:t>
            </w:r>
          </w:p>
        </w:tc>
        <w:tc>
          <w:tcPr>
            <w:tcW w:w="1417" w:type="dxa"/>
            <w:tcBorders>
              <w:top w:val="nil"/>
              <w:left w:val="nil"/>
              <w:bottom w:val="nil"/>
              <w:right w:val="nil"/>
            </w:tcBorders>
            <w:shd w:val="clear" w:color="000000" w:fill="FFFFFF"/>
            <w:noWrap/>
            <w:vAlign w:val="bottom"/>
            <w:hideMark/>
          </w:tcPr>
          <w:p w14:paraId="609C5754" w14:textId="77777777" w:rsidR="001373B6" w:rsidRPr="00846EEE" w:rsidRDefault="001373B6" w:rsidP="00997EF7">
            <w:pPr>
              <w:spacing w:after="0" w:line="240" w:lineRule="auto"/>
              <w:ind w:right="-57"/>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w:t>
            </w:r>
          </w:p>
        </w:tc>
        <w:tc>
          <w:tcPr>
            <w:tcW w:w="1418" w:type="dxa"/>
            <w:tcBorders>
              <w:top w:val="nil"/>
              <w:left w:val="nil"/>
              <w:bottom w:val="nil"/>
              <w:right w:val="nil"/>
            </w:tcBorders>
            <w:shd w:val="clear" w:color="000000" w:fill="FFFFFF"/>
            <w:noWrap/>
            <w:vAlign w:val="bottom"/>
            <w:hideMark/>
          </w:tcPr>
          <w:p w14:paraId="68CF1A1D" w14:textId="77777777" w:rsidR="001373B6" w:rsidRPr="00846EEE" w:rsidRDefault="001373B6" w:rsidP="00997EF7">
            <w:pPr>
              <w:spacing w:after="0" w:line="240" w:lineRule="auto"/>
              <w:ind w:right="-57"/>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lang w:val="en-US"/>
              </w:rPr>
              <w:t> </w:t>
            </w:r>
          </w:p>
        </w:tc>
      </w:tr>
      <w:tr w:rsidR="00551D5A" w:rsidRPr="00551D5A" w14:paraId="491C92F7" w14:textId="77777777" w:rsidTr="00997EF7">
        <w:trPr>
          <w:trHeight w:val="212"/>
        </w:trPr>
        <w:tc>
          <w:tcPr>
            <w:tcW w:w="4962" w:type="dxa"/>
            <w:tcBorders>
              <w:top w:val="nil"/>
              <w:left w:val="nil"/>
              <w:bottom w:val="nil"/>
              <w:right w:val="nil"/>
            </w:tcBorders>
            <w:shd w:val="clear" w:color="000000" w:fill="FFFFFF"/>
            <w:vAlign w:val="center"/>
            <w:hideMark/>
          </w:tcPr>
          <w:p w14:paraId="17DB22C9" w14:textId="77777777" w:rsidR="001373B6" w:rsidRPr="00846EEE" w:rsidRDefault="001373B6" w:rsidP="00997EF7">
            <w:pPr>
              <w:spacing w:after="0" w:line="240" w:lineRule="auto"/>
              <w:ind w:left="-105"/>
              <w:jc w:val="both"/>
              <w:rPr>
                <w:rFonts w:asciiTheme="minorHAnsi" w:hAnsiTheme="minorHAnsi" w:cstheme="minorHAnsi"/>
                <w:sz w:val="18"/>
                <w:szCs w:val="18"/>
              </w:rPr>
            </w:pPr>
            <w:r w:rsidRPr="00846EEE">
              <w:rPr>
                <w:rFonts w:asciiTheme="minorHAnsi" w:hAnsiTheme="minorHAnsi" w:cstheme="minorHAnsi"/>
                <w:sz w:val="18"/>
                <w:szCs w:val="18"/>
                <w:lang w:val="en-US"/>
              </w:rPr>
              <w:t>Trade and other payables</w:t>
            </w:r>
          </w:p>
        </w:tc>
        <w:tc>
          <w:tcPr>
            <w:tcW w:w="1417" w:type="dxa"/>
            <w:tcBorders>
              <w:top w:val="nil"/>
              <w:left w:val="nil"/>
              <w:bottom w:val="nil"/>
              <w:right w:val="nil"/>
            </w:tcBorders>
            <w:shd w:val="clear" w:color="000000" w:fill="FFFFFF"/>
            <w:noWrap/>
            <w:vAlign w:val="bottom"/>
            <w:hideMark/>
          </w:tcPr>
          <w:p w14:paraId="4CD24479" w14:textId="4AE28A13" w:rsidR="001373B6" w:rsidRPr="00846EEE" w:rsidRDefault="00E37CE5" w:rsidP="00997EF7">
            <w:pPr>
              <w:spacing w:after="0" w:line="240" w:lineRule="auto"/>
              <w:ind w:right="-108"/>
              <w:jc w:val="right"/>
              <w:rPr>
                <w:rFonts w:asciiTheme="minorHAnsi" w:hAnsiTheme="minorHAnsi" w:cstheme="minorHAnsi"/>
                <w:color w:val="000000"/>
                <w:sz w:val="18"/>
                <w:szCs w:val="18"/>
              </w:rPr>
            </w:pPr>
            <w:r>
              <w:rPr>
                <w:rFonts w:asciiTheme="minorHAnsi" w:hAnsiTheme="minorHAnsi" w:cstheme="minorHAnsi"/>
                <w:color w:val="000000"/>
                <w:sz w:val="18"/>
                <w:szCs w:val="18"/>
              </w:rPr>
              <w:t>(3</w:t>
            </w:r>
            <w:r w:rsidR="00D71434">
              <w:rPr>
                <w:rFonts w:asciiTheme="minorHAnsi" w:hAnsiTheme="minorHAnsi" w:cstheme="minorHAnsi"/>
                <w:color w:val="000000"/>
                <w:sz w:val="18"/>
                <w:szCs w:val="18"/>
              </w:rPr>
              <w:t>1,376</w:t>
            </w:r>
            <w:r>
              <w:rPr>
                <w:rFonts w:asciiTheme="minorHAnsi" w:hAnsiTheme="minorHAnsi" w:cstheme="minorHAnsi"/>
                <w:color w:val="000000"/>
                <w:sz w:val="18"/>
                <w:szCs w:val="18"/>
              </w:rPr>
              <w:t>)</w:t>
            </w:r>
            <w:r w:rsidR="001373B6" w:rsidRPr="00846EEE">
              <w:rPr>
                <w:rFonts w:asciiTheme="minorHAnsi" w:hAnsiTheme="minorHAnsi" w:cstheme="minorHAnsi"/>
                <w:color w:val="000000"/>
                <w:sz w:val="18"/>
                <w:szCs w:val="18"/>
              </w:rPr>
              <w:t> </w:t>
            </w:r>
          </w:p>
        </w:tc>
        <w:tc>
          <w:tcPr>
            <w:tcW w:w="1417" w:type="dxa"/>
            <w:tcBorders>
              <w:top w:val="nil"/>
              <w:left w:val="nil"/>
              <w:bottom w:val="nil"/>
              <w:right w:val="nil"/>
            </w:tcBorders>
            <w:shd w:val="clear" w:color="000000" w:fill="FFFFFF"/>
            <w:noWrap/>
            <w:vAlign w:val="bottom"/>
            <w:hideMark/>
          </w:tcPr>
          <w:p w14:paraId="3999AC6D" w14:textId="77777777" w:rsidR="001373B6" w:rsidRPr="00846EEE" w:rsidRDefault="001373B6" w:rsidP="00997EF7">
            <w:pPr>
              <w:spacing w:after="0" w:line="240" w:lineRule="auto"/>
              <w:ind w:right="-57"/>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(29,686)</w:t>
            </w:r>
          </w:p>
        </w:tc>
        <w:tc>
          <w:tcPr>
            <w:tcW w:w="1418" w:type="dxa"/>
            <w:tcBorders>
              <w:top w:val="nil"/>
              <w:left w:val="nil"/>
              <w:bottom w:val="nil"/>
              <w:right w:val="nil"/>
            </w:tcBorders>
            <w:shd w:val="clear" w:color="000000" w:fill="FFFFFF"/>
            <w:noWrap/>
            <w:vAlign w:val="bottom"/>
            <w:hideMark/>
          </w:tcPr>
          <w:p w14:paraId="57789C9A" w14:textId="77777777" w:rsidR="001373B6" w:rsidRPr="00846EEE" w:rsidRDefault="001373B6" w:rsidP="00997EF7">
            <w:pPr>
              <w:spacing w:after="0" w:line="240" w:lineRule="auto"/>
              <w:ind w:right="-57"/>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lang w:val="x-none"/>
              </w:rPr>
              <w:t xml:space="preserve">               (29,644)</w:t>
            </w:r>
          </w:p>
        </w:tc>
      </w:tr>
      <w:tr w:rsidR="00551D5A" w:rsidRPr="00551D5A" w14:paraId="610A2799" w14:textId="77777777" w:rsidTr="00997EF7">
        <w:trPr>
          <w:trHeight w:val="212"/>
        </w:trPr>
        <w:tc>
          <w:tcPr>
            <w:tcW w:w="4962" w:type="dxa"/>
            <w:tcBorders>
              <w:top w:val="nil"/>
              <w:left w:val="nil"/>
              <w:bottom w:val="nil"/>
              <w:right w:val="nil"/>
            </w:tcBorders>
            <w:shd w:val="clear" w:color="000000" w:fill="FFFFFF"/>
            <w:vAlign w:val="center"/>
            <w:hideMark/>
          </w:tcPr>
          <w:p w14:paraId="683EF175" w14:textId="77777777" w:rsidR="001373B6" w:rsidRPr="00846EEE" w:rsidRDefault="001373B6" w:rsidP="00997EF7">
            <w:pPr>
              <w:spacing w:after="0" w:line="240" w:lineRule="auto"/>
              <w:ind w:left="-105"/>
              <w:jc w:val="both"/>
              <w:rPr>
                <w:rFonts w:asciiTheme="minorHAnsi" w:hAnsiTheme="minorHAnsi" w:cstheme="minorHAnsi"/>
                <w:sz w:val="18"/>
                <w:szCs w:val="18"/>
              </w:rPr>
            </w:pPr>
            <w:r w:rsidRPr="00846EEE">
              <w:rPr>
                <w:rFonts w:asciiTheme="minorHAnsi" w:hAnsiTheme="minorHAnsi" w:cstheme="minorHAnsi"/>
                <w:sz w:val="18"/>
                <w:szCs w:val="18"/>
                <w:lang w:val="en-US"/>
              </w:rPr>
              <w:t xml:space="preserve">Derivative financial instruments </w:t>
            </w:r>
          </w:p>
        </w:tc>
        <w:tc>
          <w:tcPr>
            <w:tcW w:w="1417" w:type="dxa"/>
            <w:tcBorders>
              <w:top w:val="nil"/>
              <w:left w:val="nil"/>
              <w:bottom w:val="nil"/>
              <w:right w:val="nil"/>
            </w:tcBorders>
            <w:shd w:val="clear" w:color="000000" w:fill="FFFFFF"/>
            <w:noWrap/>
            <w:vAlign w:val="bottom"/>
            <w:hideMark/>
          </w:tcPr>
          <w:p w14:paraId="51C20CA4" w14:textId="64D09B37" w:rsidR="001373B6" w:rsidRPr="00846EEE" w:rsidRDefault="00E37CE5" w:rsidP="00997EF7">
            <w:pPr>
              <w:spacing w:after="0" w:line="240" w:lineRule="auto"/>
              <w:ind w:right="-108"/>
              <w:jc w:val="right"/>
              <w:rPr>
                <w:rFonts w:asciiTheme="minorHAnsi" w:hAnsiTheme="minorHAnsi" w:cstheme="minorHAnsi"/>
                <w:color w:val="000000"/>
                <w:sz w:val="18"/>
                <w:szCs w:val="18"/>
              </w:rPr>
            </w:pPr>
            <w:r>
              <w:rPr>
                <w:rFonts w:asciiTheme="minorHAnsi" w:hAnsiTheme="minorHAnsi" w:cstheme="minorHAnsi"/>
                <w:color w:val="000000"/>
                <w:sz w:val="18"/>
                <w:szCs w:val="18"/>
              </w:rPr>
              <w:t>(6</w:t>
            </w:r>
            <w:r w:rsidR="009D69FC">
              <w:rPr>
                <w:rFonts w:asciiTheme="minorHAnsi" w:hAnsiTheme="minorHAnsi" w:cstheme="minorHAnsi"/>
                <w:color w:val="000000"/>
                <w:sz w:val="18"/>
                <w:szCs w:val="18"/>
              </w:rPr>
              <w:t>73</w:t>
            </w:r>
            <w:r>
              <w:rPr>
                <w:rFonts w:asciiTheme="minorHAnsi" w:hAnsiTheme="minorHAnsi" w:cstheme="minorHAnsi"/>
                <w:color w:val="000000"/>
                <w:sz w:val="18"/>
                <w:szCs w:val="18"/>
              </w:rPr>
              <w:t>)</w:t>
            </w:r>
            <w:r w:rsidR="001373B6" w:rsidRPr="00846EEE">
              <w:rPr>
                <w:rFonts w:asciiTheme="minorHAnsi" w:hAnsiTheme="minorHAnsi" w:cstheme="minorHAnsi"/>
                <w:color w:val="000000"/>
                <w:sz w:val="18"/>
                <w:szCs w:val="18"/>
              </w:rPr>
              <w:t> </w:t>
            </w:r>
          </w:p>
        </w:tc>
        <w:tc>
          <w:tcPr>
            <w:tcW w:w="1417" w:type="dxa"/>
            <w:tcBorders>
              <w:top w:val="nil"/>
              <w:left w:val="nil"/>
              <w:bottom w:val="nil"/>
              <w:right w:val="nil"/>
            </w:tcBorders>
            <w:shd w:val="clear" w:color="000000" w:fill="FFFFFF"/>
            <w:noWrap/>
            <w:vAlign w:val="bottom"/>
            <w:hideMark/>
          </w:tcPr>
          <w:p w14:paraId="1C6BC214" w14:textId="5E16DFEA" w:rsidR="001373B6" w:rsidRPr="00846EEE" w:rsidRDefault="001E4197" w:rsidP="00997EF7">
            <w:pPr>
              <w:spacing w:after="0" w:line="240" w:lineRule="auto"/>
              <w:ind w:right="-57"/>
              <w:jc w:val="right"/>
              <w:rPr>
                <w:rFonts w:asciiTheme="minorHAnsi" w:hAnsiTheme="minorHAnsi" w:cstheme="minorHAnsi"/>
                <w:color w:val="000000"/>
                <w:sz w:val="18"/>
                <w:szCs w:val="18"/>
              </w:rPr>
            </w:pPr>
            <w:r>
              <w:rPr>
                <w:rFonts w:asciiTheme="minorHAnsi" w:hAnsiTheme="minorHAnsi" w:cstheme="minorHAnsi"/>
                <w:color w:val="000000"/>
                <w:sz w:val="18"/>
                <w:szCs w:val="18"/>
              </w:rPr>
              <w:t>-</w:t>
            </w:r>
            <w:r w:rsidR="001373B6" w:rsidRPr="00846EEE">
              <w:rPr>
                <w:rFonts w:asciiTheme="minorHAnsi" w:hAnsiTheme="minorHAnsi" w:cstheme="minorHAnsi"/>
                <w:color w:val="000000"/>
                <w:sz w:val="18"/>
                <w:szCs w:val="18"/>
              </w:rPr>
              <w:t xml:space="preserve">   </w:t>
            </w:r>
          </w:p>
        </w:tc>
        <w:tc>
          <w:tcPr>
            <w:tcW w:w="1418" w:type="dxa"/>
            <w:tcBorders>
              <w:top w:val="nil"/>
              <w:left w:val="nil"/>
              <w:bottom w:val="nil"/>
              <w:right w:val="nil"/>
            </w:tcBorders>
            <w:shd w:val="clear" w:color="000000" w:fill="FFFFFF"/>
            <w:noWrap/>
            <w:vAlign w:val="bottom"/>
            <w:hideMark/>
          </w:tcPr>
          <w:p w14:paraId="6D012C37" w14:textId="40A678EE" w:rsidR="001373B6" w:rsidRPr="00846EEE" w:rsidRDefault="001E4197" w:rsidP="00997EF7">
            <w:pPr>
              <w:spacing w:after="0" w:line="240" w:lineRule="auto"/>
              <w:ind w:right="-57"/>
              <w:jc w:val="right"/>
              <w:rPr>
                <w:rFonts w:asciiTheme="minorHAnsi" w:hAnsiTheme="minorHAnsi" w:cstheme="minorHAnsi"/>
                <w:color w:val="000000"/>
                <w:sz w:val="18"/>
                <w:szCs w:val="18"/>
              </w:rPr>
            </w:pPr>
            <w:r>
              <w:rPr>
                <w:rFonts w:asciiTheme="minorHAnsi" w:hAnsiTheme="minorHAnsi" w:cstheme="minorHAnsi"/>
                <w:color w:val="000000"/>
                <w:sz w:val="18"/>
                <w:szCs w:val="18"/>
              </w:rPr>
              <w:t>-</w:t>
            </w:r>
            <w:r w:rsidR="001373B6" w:rsidRPr="00846EEE">
              <w:rPr>
                <w:rFonts w:asciiTheme="minorHAnsi" w:hAnsiTheme="minorHAnsi" w:cstheme="minorHAnsi"/>
                <w:color w:val="000000"/>
                <w:sz w:val="18"/>
                <w:szCs w:val="18"/>
                <w:lang w:val="x-none"/>
              </w:rPr>
              <w:t xml:space="preserve"> </w:t>
            </w:r>
          </w:p>
        </w:tc>
      </w:tr>
      <w:tr w:rsidR="00551D5A" w:rsidRPr="00551D5A" w14:paraId="15105D17" w14:textId="77777777" w:rsidTr="00997EF7">
        <w:trPr>
          <w:trHeight w:val="212"/>
        </w:trPr>
        <w:tc>
          <w:tcPr>
            <w:tcW w:w="4962" w:type="dxa"/>
            <w:tcBorders>
              <w:top w:val="nil"/>
              <w:left w:val="nil"/>
              <w:bottom w:val="nil"/>
              <w:right w:val="nil"/>
            </w:tcBorders>
            <w:shd w:val="clear" w:color="000000" w:fill="FFFFFF"/>
            <w:vAlign w:val="center"/>
            <w:hideMark/>
          </w:tcPr>
          <w:p w14:paraId="5D9E0EE4" w14:textId="77777777" w:rsidR="001373B6" w:rsidRPr="00846EEE" w:rsidRDefault="001373B6" w:rsidP="00997EF7">
            <w:pPr>
              <w:spacing w:after="0" w:line="240" w:lineRule="auto"/>
              <w:ind w:left="-105"/>
              <w:jc w:val="both"/>
              <w:rPr>
                <w:rFonts w:asciiTheme="minorHAnsi" w:hAnsiTheme="minorHAnsi" w:cstheme="minorHAnsi"/>
                <w:sz w:val="18"/>
                <w:szCs w:val="18"/>
              </w:rPr>
            </w:pPr>
            <w:r w:rsidRPr="00846EEE">
              <w:rPr>
                <w:rFonts w:asciiTheme="minorHAnsi" w:hAnsiTheme="minorHAnsi" w:cstheme="minorHAnsi"/>
                <w:sz w:val="18"/>
                <w:szCs w:val="18"/>
                <w:lang w:val="en-US"/>
              </w:rPr>
              <w:t>Current tax</w:t>
            </w:r>
          </w:p>
        </w:tc>
        <w:tc>
          <w:tcPr>
            <w:tcW w:w="1417" w:type="dxa"/>
            <w:tcBorders>
              <w:top w:val="nil"/>
              <w:left w:val="nil"/>
              <w:bottom w:val="nil"/>
              <w:right w:val="nil"/>
            </w:tcBorders>
            <w:shd w:val="clear" w:color="000000" w:fill="FFFFFF"/>
            <w:noWrap/>
            <w:vAlign w:val="bottom"/>
            <w:hideMark/>
          </w:tcPr>
          <w:p w14:paraId="13AE39C4" w14:textId="640FA6D7" w:rsidR="001373B6" w:rsidRPr="00846EEE" w:rsidRDefault="00E37CE5" w:rsidP="00997EF7">
            <w:pPr>
              <w:spacing w:after="0" w:line="240" w:lineRule="auto"/>
              <w:ind w:right="-108"/>
              <w:jc w:val="right"/>
              <w:rPr>
                <w:rFonts w:asciiTheme="minorHAnsi" w:hAnsiTheme="minorHAnsi" w:cstheme="minorHAnsi"/>
                <w:color w:val="000000"/>
                <w:sz w:val="18"/>
                <w:szCs w:val="18"/>
              </w:rPr>
            </w:pPr>
            <w:r>
              <w:rPr>
                <w:rFonts w:asciiTheme="minorHAnsi" w:hAnsiTheme="minorHAnsi" w:cstheme="minorHAnsi"/>
                <w:color w:val="000000"/>
                <w:sz w:val="18"/>
                <w:szCs w:val="18"/>
              </w:rPr>
              <w:t>(705)</w:t>
            </w:r>
            <w:r w:rsidR="001373B6" w:rsidRPr="00846EEE">
              <w:rPr>
                <w:rFonts w:asciiTheme="minorHAnsi" w:hAnsiTheme="minorHAnsi" w:cstheme="minorHAnsi"/>
                <w:color w:val="000000"/>
                <w:sz w:val="18"/>
                <w:szCs w:val="18"/>
              </w:rPr>
              <w:t> </w:t>
            </w:r>
          </w:p>
        </w:tc>
        <w:tc>
          <w:tcPr>
            <w:tcW w:w="1417" w:type="dxa"/>
            <w:tcBorders>
              <w:top w:val="nil"/>
              <w:left w:val="nil"/>
              <w:bottom w:val="nil"/>
              <w:right w:val="nil"/>
            </w:tcBorders>
            <w:shd w:val="clear" w:color="000000" w:fill="FFFFFF"/>
            <w:noWrap/>
            <w:vAlign w:val="bottom"/>
            <w:hideMark/>
          </w:tcPr>
          <w:p w14:paraId="1DEACE20" w14:textId="77777777" w:rsidR="001373B6" w:rsidRPr="00846EEE" w:rsidRDefault="001373B6" w:rsidP="00997EF7">
            <w:pPr>
              <w:spacing w:after="0" w:line="240" w:lineRule="auto"/>
              <w:ind w:right="-57"/>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(648)</w:t>
            </w:r>
          </w:p>
        </w:tc>
        <w:tc>
          <w:tcPr>
            <w:tcW w:w="1418" w:type="dxa"/>
            <w:tcBorders>
              <w:top w:val="nil"/>
              <w:left w:val="nil"/>
              <w:bottom w:val="nil"/>
              <w:right w:val="nil"/>
            </w:tcBorders>
            <w:shd w:val="clear" w:color="000000" w:fill="FFFFFF"/>
            <w:noWrap/>
            <w:vAlign w:val="bottom"/>
            <w:hideMark/>
          </w:tcPr>
          <w:p w14:paraId="53F264C3" w14:textId="77777777" w:rsidR="001373B6" w:rsidRPr="00846EEE" w:rsidRDefault="001373B6" w:rsidP="00997EF7">
            <w:pPr>
              <w:spacing w:after="0" w:line="240" w:lineRule="auto"/>
              <w:ind w:right="-57"/>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lang w:val="x-none"/>
              </w:rPr>
              <w:t xml:space="preserve">                    (170)</w:t>
            </w:r>
          </w:p>
        </w:tc>
      </w:tr>
      <w:tr w:rsidR="00551D5A" w:rsidRPr="00551D5A" w14:paraId="2E155811" w14:textId="77777777" w:rsidTr="00997EF7">
        <w:trPr>
          <w:trHeight w:val="212"/>
        </w:trPr>
        <w:tc>
          <w:tcPr>
            <w:tcW w:w="4962" w:type="dxa"/>
            <w:tcBorders>
              <w:top w:val="nil"/>
              <w:left w:val="nil"/>
              <w:bottom w:val="nil"/>
              <w:right w:val="nil"/>
            </w:tcBorders>
            <w:shd w:val="clear" w:color="000000" w:fill="FFFFFF"/>
            <w:vAlign w:val="center"/>
            <w:hideMark/>
          </w:tcPr>
          <w:p w14:paraId="2FD00370" w14:textId="77777777" w:rsidR="001373B6" w:rsidRPr="00846EEE" w:rsidRDefault="001373B6" w:rsidP="00997EF7">
            <w:pPr>
              <w:spacing w:after="0" w:line="240" w:lineRule="auto"/>
              <w:ind w:left="-105"/>
              <w:jc w:val="both"/>
              <w:rPr>
                <w:rFonts w:asciiTheme="minorHAnsi" w:hAnsiTheme="minorHAnsi" w:cstheme="minorHAnsi"/>
                <w:sz w:val="18"/>
                <w:szCs w:val="18"/>
              </w:rPr>
            </w:pPr>
            <w:r w:rsidRPr="00846EEE">
              <w:rPr>
                <w:rFonts w:asciiTheme="minorHAnsi" w:hAnsiTheme="minorHAnsi" w:cstheme="minorHAnsi"/>
                <w:sz w:val="18"/>
                <w:szCs w:val="18"/>
                <w:lang w:val="en-US"/>
              </w:rPr>
              <w:t>Borrowings</w:t>
            </w:r>
          </w:p>
        </w:tc>
        <w:tc>
          <w:tcPr>
            <w:tcW w:w="1417" w:type="dxa"/>
            <w:tcBorders>
              <w:top w:val="nil"/>
              <w:left w:val="nil"/>
              <w:bottom w:val="nil"/>
              <w:right w:val="nil"/>
            </w:tcBorders>
            <w:shd w:val="clear" w:color="000000" w:fill="FFFFFF"/>
            <w:noWrap/>
            <w:vAlign w:val="bottom"/>
            <w:hideMark/>
          </w:tcPr>
          <w:p w14:paraId="5A20AF7C" w14:textId="6798E74C" w:rsidR="001373B6" w:rsidRPr="00846EEE" w:rsidRDefault="00E37CE5" w:rsidP="00997EF7">
            <w:pPr>
              <w:spacing w:after="0" w:line="240" w:lineRule="auto"/>
              <w:ind w:right="-108"/>
              <w:jc w:val="right"/>
              <w:rPr>
                <w:rFonts w:asciiTheme="minorHAnsi" w:hAnsiTheme="minorHAnsi" w:cstheme="minorHAnsi"/>
                <w:color w:val="000000"/>
                <w:sz w:val="18"/>
                <w:szCs w:val="18"/>
              </w:rPr>
            </w:pPr>
            <w:r>
              <w:rPr>
                <w:rFonts w:asciiTheme="minorHAnsi" w:hAnsiTheme="minorHAnsi" w:cstheme="minorHAnsi"/>
                <w:color w:val="000000"/>
                <w:sz w:val="18"/>
                <w:szCs w:val="18"/>
              </w:rPr>
              <w:t>(12,934)</w:t>
            </w:r>
            <w:r w:rsidR="001373B6" w:rsidRPr="00846EEE">
              <w:rPr>
                <w:rFonts w:asciiTheme="minorHAnsi" w:hAnsiTheme="minorHAnsi" w:cstheme="minorHAnsi"/>
                <w:color w:val="000000"/>
                <w:sz w:val="18"/>
                <w:szCs w:val="18"/>
              </w:rPr>
              <w:t> </w:t>
            </w:r>
          </w:p>
        </w:tc>
        <w:tc>
          <w:tcPr>
            <w:tcW w:w="1417" w:type="dxa"/>
            <w:tcBorders>
              <w:top w:val="nil"/>
              <w:left w:val="nil"/>
              <w:bottom w:val="nil"/>
              <w:right w:val="nil"/>
            </w:tcBorders>
            <w:shd w:val="clear" w:color="000000" w:fill="FFFFFF"/>
            <w:noWrap/>
            <w:vAlign w:val="bottom"/>
            <w:hideMark/>
          </w:tcPr>
          <w:p w14:paraId="32F9130C" w14:textId="77777777" w:rsidR="001373B6" w:rsidRPr="00846EEE" w:rsidRDefault="001373B6" w:rsidP="00997EF7">
            <w:pPr>
              <w:spacing w:after="0" w:line="240" w:lineRule="auto"/>
              <w:ind w:right="-57"/>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(20,091)</w:t>
            </w:r>
          </w:p>
        </w:tc>
        <w:tc>
          <w:tcPr>
            <w:tcW w:w="1418" w:type="dxa"/>
            <w:tcBorders>
              <w:top w:val="nil"/>
              <w:left w:val="nil"/>
              <w:bottom w:val="nil"/>
              <w:right w:val="nil"/>
            </w:tcBorders>
            <w:shd w:val="clear" w:color="000000" w:fill="FFFFFF"/>
            <w:noWrap/>
            <w:vAlign w:val="bottom"/>
            <w:hideMark/>
          </w:tcPr>
          <w:p w14:paraId="185C7586" w14:textId="77777777" w:rsidR="001373B6" w:rsidRPr="00846EEE" w:rsidRDefault="001373B6" w:rsidP="00997EF7">
            <w:pPr>
              <w:spacing w:after="0" w:line="240" w:lineRule="auto"/>
              <w:ind w:right="-57"/>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lang w:val="x-none"/>
              </w:rPr>
              <w:t xml:space="preserve">               (22,314)</w:t>
            </w:r>
          </w:p>
        </w:tc>
      </w:tr>
      <w:tr w:rsidR="00551D5A" w:rsidRPr="00551D5A" w14:paraId="5178116B" w14:textId="77777777" w:rsidTr="00997EF7">
        <w:trPr>
          <w:trHeight w:val="212"/>
        </w:trPr>
        <w:tc>
          <w:tcPr>
            <w:tcW w:w="4962" w:type="dxa"/>
            <w:tcBorders>
              <w:top w:val="nil"/>
              <w:left w:val="nil"/>
              <w:bottom w:val="nil"/>
              <w:right w:val="nil"/>
            </w:tcBorders>
            <w:shd w:val="clear" w:color="000000" w:fill="FFFFFF"/>
            <w:vAlign w:val="center"/>
            <w:hideMark/>
          </w:tcPr>
          <w:p w14:paraId="03E05B79" w14:textId="77777777" w:rsidR="001373B6" w:rsidRPr="00846EEE" w:rsidRDefault="001373B6" w:rsidP="00997EF7">
            <w:pPr>
              <w:spacing w:after="0" w:line="240" w:lineRule="auto"/>
              <w:ind w:left="-105"/>
              <w:jc w:val="both"/>
              <w:rPr>
                <w:rFonts w:asciiTheme="minorHAnsi" w:hAnsiTheme="minorHAnsi" w:cstheme="minorHAnsi"/>
                <w:sz w:val="18"/>
                <w:szCs w:val="18"/>
              </w:rPr>
            </w:pPr>
            <w:r w:rsidRPr="00846EEE">
              <w:rPr>
                <w:rFonts w:asciiTheme="minorHAnsi" w:hAnsiTheme="minorHAnsi" w:cstheme="minorHAnsi"/>
                <w:sz w:val="18"/>
                <w:szCs w:val="18"/>
                <w:lang w:val="en-US"/>
              </w:rPr>
              <w:t>Lease liabilities</w:t>
            </w:r>
          </w:p>
        </w:tc>
        <w:tc>
          <w:tcPr>
            <w:tcW w:w="1417" w:type="dxa"/>
            <w:tcBorders>
              <w:top w:val="nil"/>
              <w:left w:val="nil"/>
              <w:bottom w:val="nil"/>
              <w:right w:val="nil"/>
            </w:tcBorders>
            <w:shd w:val="clear" w:color="000000" w:fill="FFFFFF"/>
            <w:noWrap/>
            <w:vAlign w:val="bottom"/>
            <w:hideMark/>
          </w:tcPr>
          <w:p w14:paraId="5121D585" w14:textId="0BF5DF13" w:rsidR="001373B6" w:rsidRPr="00846EEE" w:rsidRDefault="00E37CE5" w:rsidP="00997EF7">
            <w:pPr>
              <w:spacing w:after="0" w:line="240" w:lineRule="auto"/>
              <w:ind w:right="-108"/>
              <w:jc w:val="right"/>
              <w:rPr>
                <w:rFonts w:asciiTheme="minorHAnsi" w:hAnsiTheme="minorHAnsi" w:cstheme="minorHAnsi"/>
                <w:color w:val="000000"/>
                <w:sz w:val="18"/>
                <w:szCs w:val="18"/>
              </w:rPr>
            </w:pPr>
            <w:r>
              <w:rPr>
                <w:rFonts w:asciiTheme="minorHAnsi" w:hAnsiTheme="minorHAnsi" w:cstheme="minorHAnsi"/>
                <w:color w:val="000000"/>
                <w:sz w:val="18"/>
                <w:szCs w:val="18"/>
              </w:rPr>
              <w:t>(636)</w:t>
            </w:r>
            <w:r w:rsidR="001373B6" w:rsidRPr="00846EEE">
              <w:rPr>
                <w:rFonts w:asciiTheme="minorHAnsi" w:hAnsiTheme="minorHAnsi" w:cstheme="minorHAnsi"/>
                <w:color w:val="000000"/>
                <w:sz w:val="18"/>
                <w:szCs w:val="18"/>
              </w:rPr>
              <w:t> </w:t>
            </w:r>
          </w:p>
        </w:tc>
        <w:tc>
          <w:tcPr>
            <w:tcW w:w="1417" w:type="dxa"/>
            <w:tcBorders>
              <w:top w:val="nil"/>
              <w:left w:val="nil"/>
              <w:bottom w:val="nil"/>
              <w:right w:val="nil"/>
            </w:tcBorders>
            <w:shd w:val="clear" w:color="000000" w:fill="FFFFFF"/>
            <w:noWrap/>
            <w:vAlign w:val="bottom"/>
            <w:hideMark/>
          </w:tcPr>
          <w:p w14:paraId="1A0941BC" w14:textId="77777777" w:rsidR="001373B6" w:rsidRPr="00846EEE" w:rsidRDefault="001373B6" w:rsidP="00997EF7">
            <w:pPr>
              <w:spacing w:after="0" w:line="240" w:lineRule="auto"/>
              <w:ind w:right="-57"/>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(849)</w:t>
            </w:r>
          </w:p>
        </w:tc>
        <w:tc>
          <w:tcPr>
            <w:tcW w:w="1418" w:type="dxa"/>
            <w:tcBorders>
              <w:top w:val="nil"/>
              <w:left w:val="nil"/>
              <w:bottom w:val="nil"/>
              <w:right w:val="nil"/>
            </w:tcBorders>
            <w:shd w:val="clear" w:color="000000" w:fill="FFFFFF"/>
            <w:noWrap/>
            <w:vAlign w:val="bottom"/>
            <w:hideMark/>
          </w:tcPr>
          <w:p w14:paraId="702B8AC8" w14:textId="77777777" w:rsidR="001373B6" w:rsidRPr="00846EEE" w:rsidRDefault="001373B6" w:rsidP="00997EF7">
            <w:pPr>
              <w:spacing w:after="0" w:line="240" w:lineRule="auto"/>
              <w:ind w:right="-57"/>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lang w:val="x-none"/>
              </w:rPr>
              <w:t xml:space="preserve">                    (817)</w:t>
            </w:r>
          </w:p>
        </w:tc>
      </w:tr>
      <w:tr w:rsidR="00551D5A" w:rsidRPr="00551D5A" w14:paraId="7F1A4BD5" w14:textId="77777777" w:rsidTr="00997EF7">
        <w:trPr>
          <w:trHeight w:val="225"/>
        </w:trPr>
        <w:tc>
          <w:tcPr>
            <w:tcW w:w="4962" w:type="dxa"/>
            <w:tcBorders>
              <w:top w:val="nil"/>
              <w:left w:val="nil"/>
              <w:bottom w:val="single" w:sz="8" w:space="0" w:color="auto"/>
              <w:right w:val="nil"/>
            </w:tcBorders>
            <w:shd w:val="clear" w:color="000000" w:fill="FFFFFF"/>
            <w:vAlign w:val="center"/>
            <w:hideMark/>
          </w:tcPr>
          <w:p w14:paraId="06410BF8" w14:textId="77777777" w:rsidR="001373B6" w:rsidRPr="00846EEE" w:rsidRDefault="001373B6" w:rsidP="00997EF7">
            <w:pPr>
              <w:spacing w:after="0" w:line="240" w:lineRule="auto"/>
              <w:ind w:left="-105"/>
              <w:jc w:val="both"/>
              <w:rPr>
                <w:rFonts w:asciiTheme="minorHAnsi" w:hAnsiTheme="minorHAnsi" w:cstheme="minorHAnsi"/>
                <w:sz w:val="18"/>
                <w:szCs w:val="18"/>
              </w:rPr>
            </w:pPr>
            <w:r w:rsidRPr="00846EEE">
              <w:rPr>
                <w:rFonts w:asciiTheme="minorHAnsi" w:hAnsiTheme="minorHAnsi" w:cstheme="minorHAnsi"/>
                <w:sz w:val="18"/>
                <w:szCs w:val="18"/>
                <w:lang w:val="en-US"/>
              </w:rPr>
              <w:t>Deferred consideration</w:t>
            </w:r>
          </w:p>
        </w:tc>
        <w:tc>
          <w:tcPr>
            <w:tcW w:w="1417" w:type="dxa"/>
            <w:tcBorders>
              <w:top w:val="nil"/>
              <w:left w:val="nil"/>
              <w:bottom w:val="single" w:sz="8" w:space="0" w:color="auto"/>
              <w:right w:val="nil"/>
            </w:tcBorders>
            <w:shd w:val="clear" w:color="000000" w:fill="FFFFFF"/>
            <w:noWrap/>
            <w:vAlign w:val="bottom"/>
            <w:hideMark/>
          </w:tcPr>
          <w:p w14:paraId="0874D142" w14:textId="600421FF" w:rsidR="001373B6" w:rsidRPr="00846EEE" w:rsidRDefault="00E37CE5" w:rsidP="00997EF7">
            <w:pPr>
              <w:spacing w:after="0" w:line="240" w:lineRule="auto"/>
              <w:ind w:right="-108"/>
              <w:jc w:val="right"/>
              <w:rPr>
                <w:rFonts w:asciiTheme="minorHAnsi" w:hAnsiTheme="minorHAnsi" w:cstheme="minorHAnsi"/>
                <w:color w:val="000000"/>
                <w:sz w:val="18"/>
                <w:szCs w:val="18"/>
              </w:rPr>
            </w:pPr>
            <w:r>
              <w:rPr>
                <w:rFonts w:asciiTheme="minorHAnsi" w:hAnsiTheme="minorHAnsi" w:cstheme="minorHAnsi"/>
                <w:color w:val="000000"/>
                <w:sz w:val="18"/>
                <w:szCs w:val="18"/>
              </w:rPr>
              <w:t>(494)</w:t>
            </w:r>
            <w:r w:rsidR="001373B6" w:rsidRPr="00846EEE">
              <w:rPr>
                <w:rFonts w:asciiTheme="minorHAnsi" w:hAnsiTheme="minorHAnsi" w:cstheme="minorHAnsi"/>
                <w:color w:val="000000"/>
                <w:sz w:val="18"/>
                <w:szCs w:val="18"/>
              </w:rPr>
              <w:t> </w:t>
            </w:r>
          </w:p>
        </w:tc>
        <w:tc>
          <w:tcPr>
            <w:tcW w:w="1417" w:type="dxa"/>
            <w:tcBorders>
              <w:top w:val="nil"/>
              <w:left w:val="nil"/>
              <w:bottom w:val="single" w:sz="8" w:space="0" w:color="auto"/>
              <w:right w:val="nil"/>
            </w:tcBorders>
            <w:shd w:val="clear" w:color="000000" w:fill="FFFFFF"/>
            <w:noWrap/>
            <w:vAlign w:val="bottom"/>
            <w:hideMark/>
          </w:tcPr>
          <w:p w14:paraId="048C923E" w14:textId="77777777" w:rsidR="001373B6" w:rsidRPr="00846EEE" w:rsidRDefault="001373B6" w:rsidP="00997EF7">
            <w:pPr>
              <w:spacing w:after="0" w:line="240" w:lineRule="auto"/>
              <w:ind w:right="-57"/>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(987)</w:t>
            </w:r>
          </w:p>
        </w:tc>
        <w:tc>
          <w:tcPr>
            <w:tcW w:w="1418" w:type="dxa"/>
            <w:tcBorders>
              <w:top w:val="nil"/>
              <w:left w:val="nil"/>
              <w:bottom w:val="single" w:sz="8" w:space="0" w:color="auto"/>
              <w:right w:val="nil"/>
            </w:tcBorders>
            <w:shd w:val="clear" w:color="000000" w:fill="FFFFFF"/>
            <w:noWrap/>
            <w:vAlign w:val="bottom"/>
            <w:hideMark/>
          </w:tcPr>
          <w:p w14:paraId="1FD31005" w14:textId="77777777" w:rsidR="001373B6" w:rsidRPr="00846EEE" w:rsidRDefault="001373B6" w:rsidP="00997EF7">
            <w:pPr>
              <w:spacing w:after="0" w:line="240" w:lineRule="auto"/>
              <w:ind w:right="-57"/>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lang w:val="x-none"/>
              </w:rPr>
              <w:t xml:space="preserve">                    (987)</w:t>
            </w:r>
          </w:p>
        </w:tc>
      </w:tr>
      <w:tr w:rsidR="00551D5A" w:rsidRPr="00551D5A" w14:paraId="579B20C5" w14:textId="77777777" w:rsidTr="00997EF7">
        <w:trPr>
          <w:trHeight w:val="225"/>
        </w:trPr>
        <w:tc>
          <w:tcPr>
            <w:tcW w:w="4962" w:type="dxa"/>
            <w:tcBorders>
              <w:top w:val="nil"/>
              <w:left w:val="nil"/>
              <w:bottom w:val="single" w:sz="8" w:space="0" w:color="auto"/>
              <w:right w:val="nil"/>
            </w:tcBorders>
            <w:shd w:val="clear" w:color="000000" w:fill="FFFFFF"/>
            <w:vAlign w:val="center"/>
            <w:hideMark/>
          </w:tcPr>
          <w:p w14:paraId="2EDC172D" w14:textId="77777777" w:rsidR="001373B6" w:rsidRPr="00846EEE" w:rsidRDefault="001373B6" w:rsidP="00997EF7">
            <w:pPr>
              <w:spacing w:after="0" w:line="240" w:lineRule="auto"/>
              <w:ind w:left="-105"/>
              <w:jc w:val="both"/>
              <w:rPr>
                <w:rFonts w:asciiTheme="minorHAnsi" w:hAnsiTheme="minorHAnsi" w:cstheme="minorHAnsi"/>
                <w:b/>
                <w:bCs/>
                <w:sz w:val="18"/>
                <w:szCs w:val="18"/>
              </w:rPr>
            </w:pPr>
            <w:r w:rsidRPr="00846EEE">
              <w:rPr>
                <w:rFonts w:asciiTheme="minorHAnsi" w:hAnsiTheme="minorHAnsi" w:cstheme="minorHAnsi"/>
                <w:b/>
                <w:bCs/>
                <w:sz w:val="18"/>
                <w:szCs w:val="18"/>
                <w:lang w:val="en-US"/>
              </w:rPr>
              <w:t>Total current liabilities</w:t>
            </w:r>
          </w:p>
        </w:tc>
        <w:tc>
          <w:tcPr>
            <w:tcW w:w="1417" w:type="dxa"/>
            <w:tcBorders>
              <w:top w:val="nil"/>
              <w:left w:val="nil"/>
              <w:bottom w:val="single" w:sz="8" w:space="0" w:color="auto"/>
              <w:right w:val="nil"/>
            </w:tcBorders>
            <w:shd w:val="clear" w:color="000000" w:fill="FFFFFF"/>
            <w:noWrap/>
            <w:vAlign w:val="bottom"/>
            <w:hideMark/>
          </w:tcPr>
          <w:p w14:paraId="4C71E94C" w14:textId="6FD7E5D3" w:rsidR="001373B6" w:rsidRPr="00846EEE" w:rsidRDefault="00E37CE5" w:rsidP="00997EF7">
            <w:pPr>
              <w:spacing w:after="0" w:line="240" w:lineRule="auto"/>
              <w:ind w:right="-108"/>
              <w:jc w:val="right"/>
              <w:rPr>
                <w:rFonts w:asciiTheme="minorHAnsi" w:hAnsiTheme="minorHAnsi" w:cstheme="minorHAnsi"/>
                <w:color w:val="000000"/>
                <w:sz w:val="18"/>
                <w:szCs w:val="18"/>
              </w:rPr>
            </w:pPr>
            <w:r>
              <w:rPr>
                <w:rFonts w:asciiTheme="minorHAnsi" w:hAnsiTheme="minorHAnsi" w:cstheme="minorHAnsi"/>
                <w:color w:val="000000"/>
                <w:sz w:val="18"/>
                <w:szCs w:val="18"/>
              </w:rPr>
              <w:t>(46,</w:t>
            </w:r>
            <w:r w:rsidR="00D71434">
              <w:rPr>
                <w:rFonts w:asciiTheme="minorHAnsi" w:hAnsiTheme="minorHAnsi" w:cstheme="minorHAnsi"/>
                <w:color w:val="000000"/>
                <w:sz w:val="18"/>
                <w:szCs w:val="18"/>
              </w:rPr>
              <w:t>818</w:t>
            </w:r>
            <w:r>
              <w:rPr>
                <w:rFonts w:asciiTheme="minorHAnsi" w:hAnsiTheme="minorHAnsi" w:cstheme="minorHAnsi"/>
                <w:color w:val="000000"/>
                <w:sz w:val="18"/>
                <w:szCs w:val="18"/>
              </w:rPr>
              <w:t>)</w:t>
            </w:r>
            <w:r w:rsidR="001373B6" w:rsidRPr="00846EEE">
              <w:rPr>
                <w:rFonts w:asciiTheme="minorHAnsi" w:hAnsiTheme="minorHAnsi" w:cstheme="minorHAnsi"/>
                <w:color w:val="000000"/>
                <w:sz w:val="18"/>
                <w:szCs w:val="18"/>
              </w:rPr>
              <w:t> </w:t>
            </w:r>
          </w:p>
        </w:tc>
        <w:tc>
          <w:tcPr>
            <w:tcW w:w="1417" w:type="dxa"/>
            <w:tcBorders>
              <w:top w:val="nil"/>
              <w:left w:val="nil"/>
              <w:bottom w:val="single" w:sz="8" w:space="0" w:color="auto"/>
              <w:right w:val="nil"/>
            </w:tcBorders>
            <w:shd w:val="clear" w:color="000000" w:fill="FFFFFF"/>
            <w:noWrap/>
            <w:vAlign w:val="bottom"/>
            <w:hideMark/>
          </w:tcPr>
          <w:p w14:paraId="490FDB2E" w14:textId="77777777" w:rsidR="001373B6" w:rsidRPr="00846EEE" w:rsidRDefault="001373B6" w:rsidP="00997EF7">
            <w:pPr>
              <w:spacing w:after="0" w:line="240" w:lineRule="auto"/>
              <w:ind w:right="-57"/>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(52,261)</w:t>
            </w:r>
          </w:p>
        </w:tc>
        <w:tc>
          <w:tcPr>
            <w:tcW w:w="1418" w:type="dxa"/>
            <w:tcBorders>
              <w:top w:val="nil"/>
              <w:left w:val="nil"/>
              <w:bottom w:val="single" w:sz="8" w:space="0" w:color="auto"/>
              <w:right w:val="nil"/>
            </w:tcBorders>
            <w:shd w:val="clear" w:color="000000" w:fill="FFFFFF"/>
            <w:noWrap/>
            <w:vAlign w:val="bottom"/>
            <w:hideMark/>
          </w:tcPr>
          <w:p w14:paraId="005853FF" w14:textId="77777777" w:rsidR="001373B6" w:rsidRPr="00846EEE" w:rsidRDefault="001373B6" w:rsidP="00997EF7">
            <w:pPr>
              <w:spacing w:after="0" w:line="240" w:lineRule="auto"/>
              <w:ind w:right="-57"/>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lang w:val="x-none"/>
              </w:rPr>
              <w:t xml:space="preserve">               (53,932)</w:t>
            </w:r>
          </w:p>
        </w:tc>
      </w:tr>
      <w:tr w:rsidR="00551D5A" w:rsidRPr="00551D5A" w14:paraId="487A92E2" w14:textId="77777777" w:rsidTr="00997EF7">
        <w:trPr>
          <w:trHeight w:val="225"/>
        </w:trPr>
        <w:tc>
          <w:tcPr>
            <w:tcW w:w="4962" w:type="dxa"/>
            <w:tcBorders>
              <w:top w:val="nil"/>
              <w:left w:val="nil"/>
              <w:bottom w:val="single" w:sz="8" w:space="0" w:color="auto"/>
              <w:right w:val="nil"/>
            </w:tcBorders>
            <w:shd w:val="clear" w:color="000000" w:fill="FFFFFF"/>
            <w:vAlign w:val="center"/>
            <w:hideMark/>
          </w:tcPr>
          <w:p w14:paraId="75451C2D" w14:textId="77777777" w:rsidR="001373B6" w:rsidRPr="00846EEE" w:rsidRDefault="001373B6" w:rsidP="00997EF7">
            <w:pPr>
              <w:spacing w:after="0" w:line="240" w:lineRule="auto"/>
              <w:ind w:left="-105"/>
              <w:jc w:val="both"/>
              <w:rPr>
                <w:rFonts w:asciiTheme="minorHAnsi" w:hAnsiTheme="minorHAnsi" w:cstheme="minorHAnsi"/>
                <w:b/>
                <w:bCs/>
                <w:sz w:val="18"/>
                <w:szCs w:val="18"/>
              </w:rPr>
            </w:pPr>
            <w:r w:rsidRPr="00846EEE">
              <w:rPr>
                <w:rFonts w:asciiTheme="minorHAnsi" w:hAnsiTheme="minorHAnsi" w:cstheme="minorHAnsi"/>
                <w:b/>
                <w:bCs/>
                <w:sz w:val="18"/>
                <w:szCs w:val="18"/>
                <w:lang w:val="en-US"/>
              </w:rPr>
              <w:t>Net current assets</w:t>
            </w:r>
          </w:p>
        </w:tc>
        <w:tc>
          <w:tcPr>
            <w:tcW w:w="1417" w:type="dxa"/>
            <w:tcBorders>
              <w:top w:val="nil"/>
              <w:left w:val="nil"/>
              <w:bottom w:val="single" w:sz="8" w:space="0" w:color="auto"/>
              <w:right w:val="nil"/>
            </w:tcBorders>
            <w:shd w:val="clear" w:color="000000" w:fill="FFFFFF"/>
            <w:noWrap/>
            <w:vAlign w:val="bottom"/>
            <w:hideMark/>
          </w:tcPr>
          <w:p w14:paraId="7756E72D" w14:textId="69EE1892" w:rsidR="001373B6" w:rsidRPr="00846EEE" w:rsidRDefault="00E37CE5" w:rsidP="00997EF7">
            <w:pPr>
              <w:spacing w:after="0" w:line="240" w:lineRule="auto"/>
              <w:ind w:right="-108"/>
              <w:jc w:val="right"/>
              <w:rPr>
                <w:rFonts w:asciiTheme="minorHAnsi" w:hAnsiTheme="minorHAnsi" w:cstheme="minorHAnsi"/>
                <w:color w:val="000000"/>
                <w:sz w:val="18"/>
                <w:szCs w:val="18"/>
              </w:rPr>
            </w:pPr>
            <w:r>
              <w:rPr>
                <w:rFonts w:asciiTheme="minorHAnsi" w:hAnsiTheme="minorHAnsi" w:cstheme="minorHAnsi"/>
                <w:color w:val="000000"/>
                <w:sz w:val="18"/>
                <w:szCs w:val="18"/>
              </w:rPr>
              <w:t>20,712</w:t>
            </w:r>
            <w:r w:rsidR="001373B6" w:rsidRPr="00846EEE">
              <w:rPr>
                <w:rFonts w:asciiTheme="minorHAnsi" w:hAnsiTheme="minorHAnsi" w:cstheme="minorHAnsi"/>
                <w:color w:val="000000"/>
                <w:sz w:val="18"/>
                <w:szCs w:val="18"/>
              </w:rPr>
              <w:t> </w:t>
            </w:r>
          </w:p>
        </w:tc>
        <w:tc>
          <w:tcPr>
            <w:tcW w:w="1417" w:type="dxa"/>
            <w:tcBorders>
              <w:top w:val="nil"/>
              <w:left w:val="nil"/>
              <w:bottom w:val="single" w:sz="8" w:space="0" w:color="auto"/>
              <w:right w:val="nil"/>
            </w:tcBorders>
            <w:shd w:val="clear" w:color="000000" w:fill="FFFFFF"/>
            <w:noWrap/>
            <w:vAlign w:val="bottom"/>
            <w:hideMark/>
          </w:tcPr>
          <w:p w14:paraId="5BEF9ADD" w14:textId="77777777" w:rsidR="001373B6" w:rsidRPr="00846EEE" w:rsidRDefault="001373B6" w:rsidP="00997EF7">
            <w:pPr>
              <w:spacing w:after="0" w:line="240" w:lineRule="auto"/>
              <w:ind w:right="-57"/>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14,169 </w:t>
            </w:r>
          </w:p>
        </w:tc>
        <w:tc>
          <w:tcPr>
            <w:tcW w:w="1418" w:type="dxa"/>
            <w:tcBorders>
              <w:top w:val="nil"/>
              <w:left w:val="nil"/>
              <w:bottom w:val="single" w:sz="8" w:space="0" w:color="auto"/>
              <w:right w:val="nil"/>
            </w:tcBorders>
            <w:shd w:val="clear" w:color="000000" w:fill="FFFFFF"/>
            <w:noWrap/>
            <w:vAlign w:val="bottom"/>
            <w:hideMark/>
          </w:tcPr>
          <w:p w14:paraId="1214F152" w14:textId="77777777" w:rsidR="001373B6" w:rsidRPr="00846EEE" w:rsidRDefault="001373B6" w:rsidP="00997EF7">
            <w:pPr>
              <w:spacing w:after="0" w:line="240" w:lineRule="auto"/>
              <w:ind w:right="-57"/>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lang w:val="x-none"/>
              </w:rPr>
              <w:t xml:space="preserve">                17,768 </w:t>
            </w:r>
          </w:p>
        </w:tc>
      </w:tr>
      <w:tr w:rsidR="00551D5A" w:rsidRPr="00551D5A" w14:paraId="387FF433" w14:textId="77777777" w:rsidTr="00997EF7">
        <w:trPr>
          <w:trHeight w:val="212"/>
        </w:trPr>
        <w:tc>
          <w:tcPr>
            <w:tcW w:w="4962" w:type="dxa"/>
            <w:tcBorders>
              <w:top w:val="nil"/>
              <w:left w:val="nil"/>
              <w:bottom w:val="nil"/>
              <w:right w:val="nil"/>
            </w:tcBorders>
            <w:shd w:val="clear" w:color="000000" w:fill="FFFFFF"/>
            <w:vAlign w:val="center"/>
            <w:hideMark/>
          </w:tcPr>
          <w:p w14:paraId="2161B581" w14:textId="77777777" w:rsidR="001373B6" w:rsidRPr="00846EEE" w:rsidRDefault="001373B6" w:rsidP="00997EF7">
            <w:pPr>
              <w:spacing w:after="0" w:line="240" w:lineRule="auto"/>
              <w:ind w:left="-105"/>
              <w:jc w:val="both"/>
              <w:rPr>
                <w:rFonts w:asciiTheme="minorHAnsi" w:hAnsiTheme="minorHAnsi" w:cstheme="minorHAnsi"/>
                <w:b/>
                <w:bCs/>
                <w:sz w:val="18"/>
                <w:szCs w:val="18"/>
              </w:rPr>
            </w:pPr>
            <w:r w:rsidRPr="00846EEE">
              <w:rPr>
                <w:rFonts w:asciiTheme="minorHAnsi" w:hAnsiTheme="minorHAnsi" w:cstheme="minorHAnsi"/>
                <w:b/>
                <w:bCs/>
                <w:sz w:val="18"/>
                <w:szCs w:val="18"/>
                <w:lang w:val="en-US"/>
              </w:rPr>
              <w:t> </w:t>
            </w:r>
          </w:p>
        </w:tc>
        <w:tc>
          <w:tcPr>
            <w:tcW w:w="1417" w:type="dxa"/>
            <w:tcBorders>
              <w:top w:val="nil"/>
              <w:left w:val="nil"/>
              <w:bottom w:val="nil"/>
              <w:right w:val="nil"/>
            </w:tcBorders>
            <w:shd w:val="clear" w:color="000000" w:fill="FFFFFF"/>
            <w:noWrap/>
            <w:vAlign w:val="bottom"/>
            <w:hideMark/>
          </w:tcPr>
          <w:p w14:paraId="3C7CE1B1" w14:textId="77777777" w:rsidR="001373B6" w:rsidRPr="00846EEE" w:rsidRDefault="001373B6" w:rsidP="00997EF7">
            <w:pPr>
              <w:spacing w:after="0" w:line="240" w:lineRule="auto"/>
              <w:ind w:right="-108"/>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w:t>
            </w:r>
          </w:p>
        </w:tc>
        <w:tc>
          <w:tcPr>
            <w:tcW w:w="1417" w:type="dxa"/>
            <w:tcBorders>
              <w:top w:val="nil"/>
              <w:left w:val="nil"/>
              <w:bottom w:val="nil"/>
              <w:right w:val="nil"/>
            </w:tcBorders>
            <w:shd w:val="clear" w:color="000000" w:fill="FFFFFF"/>
            <w:noWrap/>
            <w:vAlign w:val="bottom"/>
            <w:hideMark/>
          </w:tcPr>
          <w:p w14:paraId="1DEB1640" w14:textId="77777777" w:rsidR="001373B6" w:rsidRPr="00846EEE" w:rsidRDefault="001373B6" w:rsidP="00997EF7">
            <w:pPr>
              <w:spacing w:after="0" w:line="240" w:lineRule="auto"/>
              <w:ind w:right="-57"/>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w:t>
            </w:r>
          </w:p>
        </w:tc>
        <w:tc>
          <w:tcPr>
            <w:tcW w:w="1418" w:type="dxa"/>
            <w:tcBorders>
              <w:top w:val="nil"/>
              <w:left w:val="nil"/>
              <w:bottom w:val="nil"/>
              <w:right w:val="nil"/>
            </w:tcBorders>
            <w:shd w:val="clear" w:color="000000" w:fill="FFFFFF"/>
            <w:noWrap/>
            <w:vAlign w:val="bottom"/>
            <w:hideMark/>
          </w:tcPr>
          <w:p w14:paraId="5EC14BA5" w14:textId="77777777" w:rsidR="001373B6" w:rsidRPr="00846EEE" w:rsidRDefault="001373B6" w:rsidP="00997EF7">
            <w:pPr>
              <w:spacing w:after="0" w:line="240" w:lineRule="auto"/>
              <w:ind w:right="-57"/>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lang w:val="en-US"/>
              </w:rPr>
              <w:t> </w:t>
            </w:r>
          </w:p>
        </w:tc>
      </w:tr>
      <w:tr w:rsidR="00551D5A" w:rsidRPr="00551D5A" w14:paraId="3895886F" w14:textId="77777777" w:rsidTr="00997EF7">
        <w:trPr>
          <w:trHeight w:val="212"/>
        </w:trPr>
        <w:tc>
          <w:tcPr>
            <w:tcW w:w="4962" w:type="dxa"/>
            <w:tcBorders>
              <w:top w:val="nil"/>
              <w:left w:val="nil"/>
              <w:bottom w:val="nil"/>
              <w:right w:val="nil"/>
            </w:tcBorders>
            <w:shd w:val="clear" w:color="000000" w:fill="FFFFFF"/>
            <w:vAlign w:val="center"/>
            <w:hideMark/>
          </w:tcPr>
          <w:p w14:paraId="1FC81AA7" w14:textId="77777777" w:rsidR="001373B6" w:rsidRPr="00846EEE" w:rsidRDefault="001373B6" w:rsidP="00997EF7">
            <w:pPr>
              <w:spacing w:after="0" w:line="240" w:lineRule="auto"/>
              <w:ind w:left="-105"/>
              <w:jc w:val="both"/>
              <w:rPr>
                <w:rFonts w:asciiTheme="minorHAnsi" w:hAnsiTheme="minorHAnsi" w:cstheme="minorHAnsi"/>
                <w:sz w:val="18"/>
                <w:szCs w:val="18"/>
              </w:rPr>
            </w:pPr>
            <w:r w:rsidRPr="00846EEE">
              <w:rPr>
                <w:rFonts w:asciiTheme="minorHAnsi" w:hAnsiTheme="minorHAnsi" w:cstheme="minorHAnsi"/>
                <w:sz w:val="18"/>
                <w:szCs w:val="18"/>
                <w:lang w:val="en-US"/>
              </w:rPr>
              <w:t>Borrowings</w:t>
            </w:r>
          </w:p>
        </w:tc>
        <w:tc>
          <w:tcPr>
            <w:tcW w:w="1417" w:type="dxa"/>
            <w:tcBorders>
              <w:top w:val="nil"/>
              <w:left w:val="nil"/>
              <w:bottom w:val="nil"/>
              <w:right w:val="nil"/>
            </w:tcBorders>
            <w:shd w:val="clear" w:color="000000" w:fill="FFFFFF"/>
            <w:noWrap/>
            <w:vAlign w:val="bottom"/>
            <w:hideMark/>
          </w:tcPr>
          <w:p w14:paraId="5AB32F24" w14:textId="3C6DB7DB" w:rsidR="001373B6" w:rsidRPr="00846EEE" w:rsidRDefault="00E37CE5" w:rsidP="00997EF7">
            <w:pPr>
              <w:spacing w:after="0" w:line="240" w:lineRule="auto"/>
              <w:ind w:right="-108"/>
              <w:jc w:val="right"/>
              <w:rPr>
                <w:rFonts w:asciiTheme="minorHAnsi" w:hAnsiTheme="minorHAnsi" w:cstheme="minorHAnsi"/>
                <w:color w:val="000000"/>
                <w:sz w:val="18"/>
                <w:szCs w:val="18"/>
              </w:rPr>
            </w:pPr>
            <w:r>
              <w:rPr>
                <w:rFonts w:asciiTheme="minorHAnsi" w:hAnsiTheme="minorHAnsi" w:cstheme="minorHAnsi"/>
                <w:color w:val="000000"/>
                <w:sz w:val="18"/>
                <w:szCs w:val="18"/>
              </w:rPr>
              <w:t>(11,458)</w:t>
            </w:r>
            <w:r w:rsidR="001373B6" w:rsidRPr="00846EEE">
              <w:rPr>
                <w:rFonts w:asciiTheme="minorHAnsi" w:hAnsiTheme="minorHAnsi" w:cstheme="minorHAnsi"/>
                <w:color w:val="000000"/>
                <w:sz w:val="18"/>
                <w:szCs w:val="18"/>
              </w:rPr>
              <w:t> </w:t>
            </w:r>
          </w:p>
        </w:tc>
        <w:tc>
          <w:tcPr>
            <w:tcW w:w="1417" w:type="dxa"/>
            <w:tcBorders>
              <w:top w:val="nil"/>
              <w:left w:val="nil"/>
              <w:bottom w:val="nil"/>
              <w:right w:val="nil"/>
            </w:tcBorders>
            <w:shd w:val="clear" w:color="000000" w:fill="FFFFFF"/>
            <w:noWrap/>
            <w:vAlign w:val="bottom"/>
            <w:hideMark/>
          </w:tcPr>
          <w:p w14:paraId="272453F1" w14:textId="77777777" w:rsidR="001373B6" w:rsidRPr="00846EEE" w:rsidRDefault="001373B6" w:rsidP="00997EF7">
            <w:pPr>
              <w:spacing w:after="0" w:line="240" w:lineRule="auto"/>
              <w:ind w:right="-57"/>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(10,239)</w:t>
            </w:r>
          </w:p>
        </w:tc>
        <w:tc>
          <w:tcPr>
            <w:tcW w:w="1418" w:type="dxa"/>
            <w:tcBorders>
              <w:top w:val="nil"/>
              <w:left w:val="nil"/>
              <w:bottom w:val="nil"/>
              <w:right w:val="nil"/>
            </w:tcBorders>
            <w:shd w:val="clear" w:color="000000" w:fill="FFFFFF"/>
            <w:noWrap/>
            <w:vAlign w:val="bottom"/>
            <w:hideMark/>
          </w:tcPr>
          <w:p w14:paraId="37B5128D" w14:textId="77777777" w:rsidR="001373B6" w:rsidRPr="00846EEE" w:rsidRDefault="001373B6" w:rsidP="00997EF7">
            <w:pPr>
              <w:spacing w:after="0" w:line="240" w:lineRule="auto"/>
              <w:ind w:right="-57"/>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lang w:val="x-none"/>
              </w:rPr>
              <w:t xml:space="preserve">                 (8,144)</w:t>
            </w:r>
          </w:p>
        </w:tc>
      </w:tr>
      <w:tr w:rsidR="00551D5A" w:rsidRPr="00551D5A" w14:paraId="4859A79B" w14:textId="77777777" w:rsidTr="00997EF7">
        <w:trPr>
          <w:trHeight w:val="212"/>
        </w:trPr>
        <w:tc>
          <w:tcPr>
            <w:tcW w:w="4962" w:type="dxa"/>
            <w:tcBorders>
              <w:top w:val="nil"/>
              <w:left w:val="nil"/>
              <w:bottom w:val="nil"/>
              <w:right w:val="nil"/>
            </w:tcBorders>
            <w:shd w:val="clear" w:color="000000" w:fill="FFFFFF"/>
            <w:vAlign w:val="center"/>
            <w:hideMark/>
          </w:tcPr>
          <w:p w14:paraId="5B9FE2AA" w14:textId="77777777" w:rsidR="001373B6" w:rsidRPr="00846EEE" w:rsidRDefault="001373B6" w:rsidP="00997EF7">
            <w:pPr>
              <w:spacing w:after="0" w:line="240" w:lineRule="auto"/>
              <w:ind w:left="-105"/>
              <w:jc w:val="both"/>
              <w:rPr>
                <w:rFonts w:asciiTheme="minorHAnsi" w:hAnsiTheme="minorHAnsi" w:cstheme="minorHAnsi"/>
                <w:sz w:val="18"/>
                <w:szCs w:val="18"/>
              </w:rPr>
            </w:pPr>
            <w:r w:rsidRPr="00846EEE">
              <w:rPr>
                <w:rFonts w:asciiTheme="minorHAnsi" w:hAnsiTheme="minorHAnsi" w:cstheme="minorHAnsi"/>
                <w:sz w:val="18"/>
                <w:szCs w:val="18"/>
                <w:lang w:val="en-US"/>
              </w:rPr>
              <w:t>Deferred tax</w:t>
            </w:r>
          </w:p>
        </w:tc>
        <w:tc>
          <w:tcPr>
            <w:tcW w:w="1417" w:type="dxa"/>
            <w:tcBorders>
              <w:top w:val="nil"/>
              <w:left w:val="nil"/>
              <w:bottom w:val="nil"/>
              <w:right w:val="nil"/>
            </w:tcBorders>
            <w:shd w:val="clear" w:color="000000" w:fill="FFFFFF"/>
            <w:noWrap/>
            <w:vAlign w:val="bottom"/>
            <w:hideMark/>
          </w:tcPr>
          <w:p w14:paraId="1FC77385" w14:textId="6AE917F0" w:rsidR="001373B6" w:rsidRPr="00846EEE" w:rsidRDefault="00E37CE5" w:rsidP="00997EF7">
            <w:pPr>
              <w:spacing w:after="0" w:line="240" w:lineRule="auto"/>
              <w:ind w:right="-108"/>
              <w:jc w:val="right"/>
              <w:rPr>
                <w:rFonts w:asciiTheme="minorHAnsi" w:hAnsiTheme="minorHAnsi" w:cstheme="minorHAnsi"/>
                <w:color w:val="000000"/>
                <w:sz w:val="18"/>
                <w:szCs w:val="18"/>
              </w:rPr>
            </w:pPr>
            <w:r>
              <w:rPr>
                <w:rFonts w:asciiTheme="minorHAnsi" w:hAnsiTheme="minorHAnsi" w:cstheme="minorHAnsi"/>
                <w:color w:val="000000"/>
                <w:sz w:val="18"/>
                <w:szCs w:val="18"/>
              </w:rPr>
              <w:t>(6,928)</w:t>
            </w:r>
            <w:r w:rsidR="001373B6" w:rsidRPr="00846EEE">
              <w:rPr>
                <w:rFonts w:asciiTheme="minorHAnsi" w:hAnsiTheme="minorHAnsi" w:cstheme="minorHAnsi"/>
                <w:color w:val="000000"/>
                <w:sz w:val="18"/>
                <w:szCs w:val="18"/>
              </w:rPr>
              <w:t> </w:t>
            </w:r>
          </w:p>
        </w:tc>
        <w:tc>
          <w:tcPr>
            <w:tcW w:w="1417" w:type="dxa"/>
            <w:tcBorders>
              <w:top w:val="nil"/>
              <w:left w:val="nil"/>
              <w:bottom w:val="nil"/>
              <w:right w:val="nil"/>
            </w:tcBorders>
            <w:shd w:val="clear" w:color="000000" w:fill="FFFFFF"/>
            <w:noWrap/>
            <w:vAlign w:val="bottom"/>
            <w:hideMark/>
          </w:tcPr>
          <w:p w14:paraId="41A76E0A" w14:textId="77777777" w:rsidR="001373B6" w:rsidRPr="00846EEE" w:rsidRDefault="001373B6" w:rsidP="00997EF7">
            <w:pPr>
              <w:spacing w:after="0" w:line="240" w:lineRule="auto"/>
              <w:ind w:right="-57"/>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(6,055)</w:t>
            </w:r>
          </w:p>
        </w:tc>
        <w:tc>
          <w:tcPr>
            <w:tcW w:w="1418" w:type="dxa"/>
            <w:tcBorders>
              <w:top w:val="nil"/>
              <w:left w:val="nil"/>
              <w:bottom w:val="nil"/>
              <w:right w:val="nil"/>
            </w:tcBorders>
            <w:shd w:val="clear" w:color="000000" w:fill="FFFFFF"/>
            <w:noWrap/>
            <w:vAlign w:val="bottom"/>
            <w:hideMark/>
          </w:tcPr>
          <w:p w14:paraId="4F353C5D" w14:textId="77777777" w:rsidR="001373B6" w:rsidRPr="00846EEE" w:rsidRDefault="001373B6" w:rsidP="00997EF7">
            <w:pPr>
              <w:spacing w:after="0" w:line="240" w:lineRule="auto"/>
              <w:ind w:right="-57"/>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lang w:val="x-none"/>
              </w:rPr>
              <w:t xml:space="preserve">                 (7,585)</w:t>
            </w:r>
          </w:p>
        </w:tc>
      </w:tr>
      <w:tr w:rsidR="00551D5A" w:rsidRPr="00551D5A" w14:paraId="54CBB3AD" w14:textId="77777777" w:rsidTr="00997EF7">
        <w:trPr>
          <w:trHeight w:val="212"/>
        </w:trPr>
        <w:tc>
          <w:tcPr>
            <w:tcW w:w="4962" w:type="dxa"/>
            <w:tcBorders>
              <w:top w:val="nil"/>
              <w:left w:val="nil"/>
              <w:bottom w:val="nil"/>
              <w:right w:val="nil"/>
            </w:tcBorders>
            <w:shd w:val="clear" w:color="000000" w:fill="FFFFFF"/>
            <w:vAlign w:val="center"/>
            <w:hideMark/>
          </w:tcPr>
          <w:p w14:paraId="327FCDC3" w14:textId="77777777" w:rsidR="001373B6" w:rsidRPr="00846EEE" w:rsidRDefault="001373B6" w:rsidP="00997EF7">
            <w:pPr>
              <w:spacing w:after="0" w:line="240" w:lineRule="auto"/>
              <w:ind w:left="-105"/>
              <w:jc w:val="both"/>
              <w:rPr>
                <w:rFonts w:asciiTheme="minorHAnsi" w:hAnsiTheme="minorHAnsi" w:cstheme="minorHAnsi"/>
                <w:sz w:val="18"/>
                <w:szCs w:val="18"/>
              </w:rPr>
            </w:pPr>
            <w:r w:rsidRPr="00846EEE">
              <w:rPr>
                <w:rFonts w:asciiTheme="minorHAnsi" w:hAnsiTheme="minorHAnsi" w:cstheme="minorHAnsi"/>
                <w:sz w:val="18"/>
                <w:szCs w:val="18"/>
                <w:lang w:val="en-US"/>
              </w:rPr>
              <w:t>Deferred consideration</w:t>
            </w:r>
          </w:p>
        </w:tc>
        <w:tc>
          <w:tcPr>
            <w:tcW w:w="1417" w:type="dxa"/>
            <w:tcBorders>
              <w:top w:val="nil"/>
              <w:left w:val="nil"/>
              <w:bottom w:val="nil"/>
              <w:right w:val="nil"/>
            </w:tcBorders>
            <w:shd w:val="clear" w:color="000000" w:fill="FFFFFF"/>
            <w:noWrap/>
            <w:vAlign w:val="bottom"/>
            <w:hideMark/>
          </w:tcPr>
          <w:p w14:paraId="6C056D41" w14:textId="11404E76" w:rsidR="001373B6" w:rsidRPr="00846EEE" w:rsidRDefault="00C03B2C" w:rsidP="00997EF7">
            <w:pPr>
              <w:spacing w:after="0" w:line="240" w:lineRule="auto"/>
              <w:ind w:right="-108"/>
              <w:jc w:val="right"/>
              <w:rPr>
                <w:rFonts w:asciiTheme="minorHAnsi" w:hAnsiTheme="minorHAnsi" w:cstheme="minorHAnsi"/>
                <w:color w:val="000000"/>
                <w:sz w:val="18"/>
                <w:szCs w:val="18"/>
              </w:rPr>
            </w:pPr>
            <w:r>
              <w:rPr>
                <w:rFonts w:asciiTheme="minorHAnsi" w:hAnsiTheme="minorHAnsi" w:cstheme="minorHAnsi"/>
                <w:color w:val="000000"/>
                <w:sz w:val="18"/>
                <w:szCs w:val="18"/>
              </w:rPr>
              <w:t>-</w:t>
            </w:r>
            <w:r w:rsidR="001373B6" w:rsidRPr="00846EEE">
              <w:rPr>
                <w:rFonts w:asciiTheme="minorHAnsi" w:hAnsiTheme="minorHAnsi" w:cstheme="minorHAnsi"/>
                <w:color w:val="000000"/>
                <w:sz w:val="18"/>
                <w:szCs w:val="18"/>
              </w:rPr>
              <w:t> </w:t>
            </w:r>
          </w:p>
        </w:tc>
        <w:tc>
          <w:tcPr>
            <w:tcW w:w="1417" w:type="dxa"/>
            <w:tcBorders>
              <w:top w:val="nil"/>
              <w:left w:val="nil"/>
              <w:bottom w:val="nil"/>
              <w:right w:val="nil"/>
            </w:tcBorders>
            <w:shd w:val="clear" w:color="000000" w:fill="FFFFFF"/>
            <w:noWrap/>
            <w:vAlign w:val="bottom"/>
            <w:hideMark/>
          </w:tcPr>
          <w:p w14:paraId="273D5864" w14:textId="77777777" w:rsidR="001373B6" w:rsidRPr="00846EEE" w:rsidRDefault="001373B6" w:rsidP="00997EF7">
            <w:pPr>
              <w:spacing w:after="0" w:line="240" w:lineRule="auto"/>
              <w:ind w:right="-57"/>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(494)</w:t>
            </w:r>
          </w:p>
        </w:tc>
        <w:tc>
          <w:tcPr>
            <w:tcW w:w="1418" w:type="dxa"/>
            <w:tcBorders>
              <w:top w:val="nil"/>
              <w:left w:val="nil"/>
              <w:bottom w:val="nil"/>
              <w:right w:val="nil"/>
            </w:tcBorders>
            <w:shd w:val="clear" w:color="000000" w:fill="FFFFFF"/>
            <w:noWrap/>
            <w:vAlign w:val="bottom"/>
            <w:hideMark/>
          </w:tcPr>
          <w:p w14:paraId="7774BEE1" w14:textId="4D7A0F1D" w:rsidR="001373B6" w:rsidRPr="00846EEE" w:rsidRDefault="001E4197" w:rsidP="00997EF7">
            <w:pPr>
              <w:spacing w:after="0" w:line="240" w:lineRule="auto"/>
              <w:ind w:right="-57"/>
              <w:jc w:val="right"/>
              <w:rPr>
                <w:rFonts w:asciiTheme="minorHAnsi" w:hAnsiTheme="minorHAnsi" w:cstheme="minorHAnsi"/>
                <w:color w:val="000000"/>
                <w:sz w:val="18"/>
                <w:szCs w:val="18"/>
              </w:rPr>
            </w:pPr>
            <w:r>
              <w:rPr>
                <w:rFonts w:asciiTheme="minorHAnsi" w:hAnsiTheme="minorHAnsi" w:cstheme="minorHAnsi"/>
                <w:color w:val="000000"/>
                <w:sz w:val="18"/>
                <w:szCs w:val="18"/>
              </w:rPr>
              <w:t>-</w:t>
            </w:r>
            <w:r w:rsidR="001373B6" w:rsidRPr="00846EEE">
              <w:rPr>
                <w:rFonts w:asciiTheme="minorHAnsi" w:hAnsiTheme="minorHAnsi" w:cstheme="minorHAnsi"/>
                <w:color w:val="000000"/>
                <w:sz w:val="18"/>
                <w:szCs w:val="18"/>
                <w:lang w:val="x-none"/>
              </w:rPr>
              <w:t xml:space="preserve"> </w:t>
            </w:r>
          </w:p>
        </w:tc>
      </w:tr>
      <w:tr w:rsidR="00551D5A" w:rsidRPr="00551D5A" w14:paraId="16CDA9AD" w14:textId="77777777" w:rsidTr="00997EF7">
        <w:trPr>
          <w:trHeight w:val="225"/>
        </w:trPr>
        <w:tc>
          <w:tcPr>
            <w:tcW w:w="4962" w:type="dxa"/>
            <w:tcBorders>
              <w:top w:val="nil"/>
              <w:left w:val="nil"/>
              <w:bottom w:val="single" w:sz="8" w:space="0" w:color="auto"/>
              <w:right w:val="nil"/>
            </w:tcBorders>
            <w:shd w:val="clear" w:color="000000" w:fill="FFFFFF"/>
            <w:vAlign w:val="center"/>
            <w:hideMark/>
          </w:tcPr>
          <w:p w14:paraId="25B8CA18" w14:textId="77777777" w:rsidR="001373B6" w:rsidRPr="00846EEE" w:rsidRDefault="001373B6" w:rsidP="00997EF7">
            <w:pPr>
              <w:spacing w:after="0" w:line="240" w:lineRule="auto"/>
              <w:ind w:left="-105"/>
              <w:jc w:val="both"/>
              <w:rPr>
                <w:rFonts w:asciiTheme="minorHAnsi" w:hAnsiTheme="minorHAnsi" w:cstheme="minorHAnsi"/>
                <w:sz w:val="18"/>
                <w:szCs w:val="18"/>
              </w:rPr>
            </w:pPr>
            <w:r w:rsidRPr="00846EEE">
              <w:rPr>
                <w:rFonts w:asciiTheme="minorHAnsi" w:hAnsiTheme="minorHAnsi" w:cstheme="minorHAnsi"/>
                <w:sz w:val="18"/>
                <w:szCs w:val="18"/>
                <w:lang w:val="en-US"/>
              </w:rPr>
              <w:t>Lease liabilities</w:t>
            </w:r>
          </w:p>
        </w:tc>
        <w:tc>
          <w:tcPr>
            <w:tcW w:w="1417" w:type="dxa"/>
            <w:tcBorders>
              <w:top w:val="nil"/>
              <w:left w:val="nil"/>
              <w:bottom w:val="single" w:sz="8" w:space="0" w:color="auto"/>
              <w:right w:val="nil"/>
            </w:tcBorders>
            <w:shd w:val="clear" w:color="000000" w:fill="FFFFFF"/>
            <w:noWrap/>
            <w:vAlign w:val="bottom"/>
            <w:hideMark/>
          </w:tcPr>
          <w:p w14:paraId="3D2DB0D1" w14:textId="5CB53FAC" w:rsidR="001373B6" w:rsidRPr="00846EEE" w:rsidRDefault="00E37CE5" w:rsidP="00997EF7">
            <w:pPr>
              <w:spacing w:after="0" w:line="240" w:lineRule="auto"/>
              <w:ind w:right="-108"/>
              <w:jc w:val="right"/>
              <w:rPr>
                <w:rFonts w:asciiTheme="minorHAnsi" w:hAnsiTheme="minorHAnsi" w:cstheme="minorHAnsi"/>
                <w:color w:val="000000"/>
                <w:sz w:val="18"/>
                <w:szCs w:val="18"/>
              </w:rPr>
            </w:pPr>
            <w:r>
              <w:rPr>
                <w:rFonts w:asciiTheme="minorHAnsi" w:hAnsiTheme="minorHAnsi" w:cstheme="minorHAnsi"/>
                <w:color w:val="000000"/>
                <w:sz w:val="18"/>
                <w:szCs w:val="18"/>
              </w:rPr>
              <w:t>(</w:t>
            </w:r>
            <w:r w:rsidR="00F432E0">
              <w:rPr>
                <w:rFonts w:asciiTheme="minorHAnsi" w:hAnsiTheme="minorHAnsi" w:cstheme="minorHAnsi"/>
                <w:color w:val="000000"/>
                <w:sz w:val="18"/>
                <w:szCs w:val="18"/>
              </w:rPr>
              <w:t>1,717</w:t>
            </w:r>
            <w:r>
              <w:rPr>
                <w:rFonts w:asciiTheme="minorHAnsi" w:hAnsiTheme="minorHAnsi" w:cstheme="minorHAnsi"/>
                <w:color w:val="000000"/>
                <w:sz w:val="18"/>
                <w:szCs w:val="18"/>
              </w:rPr>
              <w:t>)</w:t>
            </w:r>
            <w:r w:rsidR="001373B6" w:rsidRPr="00846EEE">
              <w:rPr>
                <w:rFonts w:asciiTheme="minorHAnsi" w:hAnsiTheme="minorHAnsi" w:cstheme="minorHAnsi"/>
                <w:color w:val="000000"/>
                <w:sz w:val="18"/>
                <w:szCs w:val="18"/>
              </w:rPr>
              <w:t> </w:t>
            </w:r>
          </w:p>
        </w:tc>
        <w:tc>
          <w:tcPr>
            <w:tcW w:w="1417" w:type="dxa"/>
            <w:tcBorders>
              <w:top w:val="nil"/>
              <w:left w:val="nil"/>
              <w:bottom w:val="single" w:sz="8" w:space="0" w:color="auto"/>
              <w:right w:val="nil"/>
            </w:tcBorders>
            <w:shd w:val="clear" w:color="000000" w:fill="FFFFFF"/>
            <w:noWrap/>
            <w:vAlign w:val="bottom"/>
            <w:hideMark/>
          </w:tcPr>
          <w:p w14:paraId="1CE52150" w14:textId="77777777" w:rsidR="001373B6" w:rsidRPr="00846EEE" w:rsidRDefault="001373B6" w:rsidP="00997EF7">
            <w:pPr>
              <w:spacing w:after="0" w:line="240" w:lineRule="auto"/>
              <w:ind w:right="-57"/>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(1,758)</w:t>
            </w:r>
          </w:p>
        </w:tc>
        <w:tc>
          <w:tcPr>
            <w:tcW w:w="1418" w:type="dxa"/>
            <w:tcBorders>
              <w:top w:val="nil"/>
              <w:left w:val="nil"/>
              <w:bottom w:val="single" w:sz="8" w:space="0" w:color="auto"/>
              <w:right w:val="nil"/>
            </w:tcBorders>
            <w:shd w:val="clear" w:color="000000" w:fill="FFFFFF"/>
            <w:noWrap/>
            <w:vAlign w:val="bottom"/>
            <w:hideMark/>
          </w:tcPr>
          <w:p w14:paraId="1D3BB64F" w14:textId="77777777" w:rsidR="001373B6" w:rsidRPr="00846EEE" w:rsidRDefault="001373B6" w:rsidP="00997EF7">
            <w:pPr>
              <w:spacing w:after="0" w:line="240" w:lineRule="auto"/>
              <w:ind w:right="-57"/>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lang w:val="x-none"/>
              </w:rPr>
              <w:t xml:space="preserve">                 (1,940)</w:t>
            </w:r>
          </w:p>
        </w:tc>
      </w:tr>
      <w:tr w:rsidR="00551D5A" w:rsidRPr="00551D5A" w14:paraId="531B56AF" w14:textId="77777777" w:rsidTr="00997EF7">
        <w:trPr>
          <w:trHeight w:val="225"/>
        </w:trPr>
        <w:tc>
          <w:tcPr>
            <w:tcW w:w="4962" w:type="dxa"/>
            <w:tcBorders>
              <w:top w:val="nil"/>
              <w:left w:val="nil"/>
              <w:bottom w:val="single" w:sz="8" w:space="0" w:color="auto"/>
              <w:right w:val="nil"/>
            </w:tcBorders>
            <w:shd w:val="clear" w:color="000000" w:fill="FFFFFF"/>
            <w:vAlign w:val="center"/>
            <w:hideMark/>
          </w:tcPr>
          <w:p w14:paraId="6AF3156E" w14:textId="77777777" w:rsidR="001373B6" w:rsidRPr="00846EEE" w:rsidRDefault="001373B6" w:rsidP="00997EF7">
            <w:pPr>
              <w:spacing w:after="0" w:line="240" w:lineRule="auto"/>
              <w:ind w:left="-105"/>
              <w:jc w:val="both"/>
              <w:rPr>
                <w:rFonts w:asciiTheme="minorHAnsi" w:hAnsiTheme="minorHAnsi" w:cstheme="minorHAnsi"/>
                <w:b/>
                <w:bCs/>
                <w:sz w:val="18"/>
                <w:szCs w:val="18"/>
              </w:rPr>
            </w:pPr>
            <w:r w:rsidRPr="00846EEE">
              <w:rPr>
                <w:rFonts w:asciiTheme="minorHAnsi" w:hAnsiTheme="minorHAnsi" w:cstheme="minorHAnsi"/>
                <w:b/>
                <w:bCs/>
                <w:sz w:val="18"/>
                <w:szCs w:val="18"/>
                <w:lang w:val="en-US"/>
              </w:rPr>
              <w:t>Total non-current liabilities</w:t>
            </w:r>
          </w:p>
        </w:tc>
        <w:tc>
          <w:tcPr>
            <w:tcW w:w="1417" w:type="dxa"/>
            <w:tcBorders>
              <w:top w:val="nil"/>
              <w:left w:val="nil"/>
              <w:bottom w:val="single" w:sz="8" w:space="0" w:color="auto"/>
              <w:right w:val="nil"/>
            </w:tcBorders>
            <w:shd w:val="clear" w:color="000000" w:fill="FFFFFF"/>
            <w:noWrap/>
            <w:vAlign w:val="bottom"/>
            <w:hideMark/>
          </w:tcPr>
          <w:p w14:paraId="0A8A1706" w14:textId="37A3940D" w:rsidR="001373B6" w:rsidRPr="00846EEE" w:rsidRDefault="00E37CE5" w:rsidP="00997EF7">
            <w:pPr>
              <w:spacing w:after="0" w:line="240" w:lineRule="auto"/>
              <w:ind w:right="-108"/>
              <w:jc w:val="right"/>
              <w:rPr>
                <w:rFonts w:asciiTheme="minorHAnsi" w:hAnsiTheme="minorHAnsi" w:cstheme="minorHAnsi"/>
                <w:color w:val="000000"/>
                <w:sz w:val="18"/>
                <w:szCs w:val="18"/>
              </w:rPr>
            </w:pPr>
            <w:r>
              <w:rPr>
                <w:rFonts w:asciiTheme="minorHAnsi" w:hAnsiTheme="minorHAnsi" w:cstheme="minorHAnsi"/>
                <w:color w:val="000000"/>
                <w:sz w:val="18"/>
                <w:szCs w:val="18"/>
              </w:rPr>
              <w:t>(20,103)</w:t>
            </w:r>
            <w:r w:rsidR="001373B6" w:rsidRPr="00846EEE">
              <w:rPr>
                <w:rFonts w:asciiTheme="minorHAnsi" w:hAnsiTheme="minorHAnsi" w:cstheme="minorHAnsi"/>
                <w:color w:val="000000"/>
                <w:sz w:val="18"/>
                <w:szCs w:val="18"/>
              </w:rPr>
              <w:t> </w:t>
            </w:r>
          </w:p>
        </w:tc>
        <w:tc>
          <w:tcPr>
            <w:tcW w:w="1417" w:type="dxa"/>
            <w:tcBorders>
              <w:top w:val="nil"/>
              <w:left w:val="nil"/>
              <w:bottom w:val="single" w:sz="8" w:space="0" w:color="auto"/>
              <w:right w:val="nil"/>
            </w:tcBorders>
            <w:shd w:val="clear" w:color="000000" w:fill="FFFFFF"/>
            <w:noWrap/>
            <w:vAlign w:val="bottom"/>
            <w:hideMark/>
          </w:tcPr>
          <w:p w14:paraId="6EA1F09B" w14:textId="77777777" w:rsidR="001373B6" w:rsidRPr="00846EEE" w:rsidRDefault="001373B6" w:rsidP="00997EF7">
            <w:pPr>
              <w:spacing w:after="0" w:line="240" w:lineRule="auto"/>
              <w:ind w:right="-57"/>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(18,546)</w:t>
            </w:r>
          </w:p>
        </w:tc>
        <w:tc>
          <w:tcPr>
            <w:tcW w:w="1418" w:type="dxa"/>
            <w:tcBorders>
              <w:top w:val="nil"/>
              <w:left w:val="nil"/>
              <w:bottom w:val="single" w:sz="8" w:space="0" w:color="auto"/>
              <w:right w:val="nil"/>
            </w:tcBorders>
            <w:shd w:val="clear" w:color="000000" w:fill="FFFFFF"/>
            <w:noWrap/>
            <w:vAlign w:val="bottom"/>
            <w:hideMark/>
          </w:tcPr>
          <w:p w14:paraId="559869B0" w14:textId="77777777" w:rsidR="001373B6" w:rsidRPr="00846EEE" w:rsidRDefault="001373B6" w:rsidP="00997EF7">
            <w:pPr>
              <w:spacing w:after="0" w:line="240" w:lineRule="auto"/>
              <w:ind w:right="-57"/>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lang w:val="x-none"/>
              </w:rPr>
              <w:t xml:space="preserve">               (17,669)</w:t>
            </w:r>
          </w:p>
        </w:tc>
      </w:tr>
      <w:tr w:rsidR="00551D5A" w:rsidRPr="00551D5A" w14:paraId="4E6A9D57" w14:textId="77777777" w:rsidTr="00997EF7">
        <w:trPr>
          <w:trHeight w:val="225"/>
        </w:trPr>
        <w:tc>
          <w:tcPr>
            <w:tcW w:w="4962" w:type="dxa"/>
            <w:tcBorders>
              <w:top w:val="nil"/>
              <w:left w:val="nil"/>
              <w:bottom w:val="single" w:sz="8" w:space="0" w:color="auto"/>
              <w:right w:val="nil"/>
            </w:tcBorders>
            <w:shd w:val="clear" w:color="000000" w:fill="FFFFFF"/>
            <w:vAlign w:val="center"/>
            <w:hideMark/>
          </w:tcPr>
          <w:p w14:paraId="5AD957EE" w14:textId="77777777" w:rsidR="001373B6" w:rsidRPr="00846EEE" w:rsidRDefault="001373B6" w:rsidP="00997EF7">
            <w:pPr>
              <w:spacing w:after="0" w:line="240" w:lineRule="auto"/>
              <w:ind w:left="-105"/>
              <w:jc w:val="both"/>
              <w:rPr>
                <w:rFonts w:asciiTheme="minorHAnsi" w:hAnsiTheme="minorHAnsi" w:cstheme="minorHAnsi"/>
                <w:b/>
                <w:bCs/>
                <w:sz w:val="18"/>
                <w:szCs w:val="18"/>
              </w:rPr>
            </w:pPr>
            <w:r w:rsidRPr="00846EEE">
              <w:rPr>
                <w:rFonts w:asciiTheme="minorHAnsi" w:hAnsiTheme="minorHAnsi" w:cstheme="minorHAnsi"/>
                <w:b/>
                <w:bCs/>
                <w:sz w:val="18"/>
                <w:szCs w:val="18"/>
                <w:lang w:val="en-US"/>
              </w:rPr>
              <w:t>Total liabilities</w:t>
            </w:r>
          </w:p>
        </w:tc>
        <w:tc>
          <w:tcPr>
            <w:tcW w:w="1417" w:type="dxa"/>
            <w:tcBorders>
              <w:top w:val="nil"/>
              <w:left w:val="nil"/>
              <w:bottom w:val="single" w:sz="8" w:space="0" w:color="auto"/>
              <w:right w:val="nil"/>
            </w:tcBorders>
            <w:shd w:val="clear" w:color="000000" w:fill="FFFFFF"/>
            <w:noWrap/>
            <w:vAlign w:val="bottom"/>
            <w:hideMark/>
          </w:tcPr>
          <w:p w14:paraId="5F0F35ED" w14:textId="4898B135" w:rsidR="001373B6" w:rsidRPr="00846EEE" w:rsidRDefault="00E37CE5" w:rsidP="00997EF7">
            <w:pPr>
              <w:spacing w:after="0" w:line="240" w:lineRule="auto"/>
              <w:ind w:right="-108"/>
              <w:jc w:val="right"/>
              <w:rPr>
                <w:rFonts w:asciiTheme="minorHAnsi" w:hAnsiTheme="minorHAnsi" w:cstheme="minorHAnsi"/>
                <w:color w:val="000000"/>
                <w:sz w:val="18"/>
                <w:szCs w:val="18"/>
              </w:rPr>
            </w:pPr>
            <w:r>
              <w:rPr>
                <w:rFonts w:asciiTheme="minorHAnsi" w:hAnsiTheme="minorHAnsi" w:cstheme="minorHAnsi"/>
                <w:color w:val="000000"/>
                <w:sz w:val="18"/>
                <w:szCs w:val="18"/>
              </w:rPr>
              <w:t>(66,</w:t>
            </w:r>
            <w:r w:rsidR="00D71434">
              <w:rPr>
                <w:rFonts w:asciiTheme="minorHAnsi" w:hAnsiTheme="minorHAnsi" w:cstheme="minorHAnsi"/>
                <w:color w:val="000000"/>
                <w:sz w:val="18"/>
                <w:szCs w:val="18"/>
              </w:rPr>
              <w:t>921</w:t>
            </w:r>
            <w:r>
              <w:rPr>
                <w:rFonts w:asciiTheme="minorHAnsi" w:hAnsiTheme="minorHAnsi" w:cstheme="minorHAnsi"/>
                <w:color w:val="000000"/>
                <w:sz w:val="18"/>
                <w:szCs w:val="18"/>
              </w:rPr>
              <w:t>)</w:t>
            </w:r>
            <w:r w:rsidR="001373B6" w:rsidRPr="00846EEE">
              <w:rPr>
                <w:rFonts w:asciiTheme="minorHAnsi" w:hAnsiTheme="minorHAnsi" w:cstheme="minorHAnsi"/>
                <w:color w:val="000000"/>
                <w:sz w:val="18"/>
                <w:szCs w:val="18"/>
              </w:rPr>
              <w:t> </w:t>
            </w:r>
          </w:p>
        </w:tc>
        <w:tc>
          <w:tcPr>
            <w:tcW w:w="1417" w:type="dxa"/>
            <w:tcBorders>
              <w:top w:val="nil"/>
              <w:left w:val="nil"/>
              <w:bottom w:val="single" w:sz="8" w:space="0" w:color="auto"/>
              <w:right w:val="nil"/>
            </w:tcBorders>
            <w:shd w:val="clear" w:color="000000" w:fill="FFFFFF"/>
            <w:noWrap/>
            <w:vAlign w:val="bottom"/>
            <w:hideMark/>
          </w:tcPr>
          <w:p w14:paraId="6594B796" w14:textId="77777777" w:rsidR="001373B6" w:rsidRPr="00846EEE" w:rsidRDefault="001373B6" w:rsidP="00997EF7">
            <w:pPr>
              <w:spacing w:after="0" w:line="240" w:lineRule="auto"/>
              <w:ind w:right="-57"/>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(70,807)</w:t>
            </w:r>
          </w:p>
        </w:tc>
        <w:tc>
          <w:tcPr>
            <w:tcW w:w="1418" w:type="dxa"/>
            <w:tcBorders>
              <w:top w:val="nil"/>
              <w:left w:val="nil"/>
              <w:bottom w:val="single" w:sz="8" w:space="0" w:color="auto"/>
              <w:right w:val="nil"/>
            </w:tcBorders>
            <w:shd w:val="clear" w:color="000000" w:fill="FFFFFF"/>
            <w:noWrap/>
            <w:vAlign w:val="bottom"/>
            <w:hideMark/>
          </w:tcPr>
          <w:p w14:paraId="1553E450" w14:textId="77777777" w:rsidR="001373B6" w:rsidRPr="00846EEE" w:rsidRDefault="001373B6" w:rsidP="00997EF7">
            <w:pPr>
              <w:spacing w:after="0" w:line="240" w:lineRule="auto"/>
              <w:ind w:right="-57"/>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lang w:val="x-none"/>
              </w:rPr>
              <w:t xml:space="preserve">               (71,601)</w:t>
            </w:r>
          </w:p>
        </w:tc>
      </w:tr>
      <w:tr w:rsidR="00551D5A" w:rsidRPr="00551D5A" w14:paraId="6B5282CB" w14:textId="77777777" w:rsidTr="00997EF7">
        <w:trPr>
          <w:trHeight w:val="225"/>
        </w:trPr>
        <w:tc>
          <w:tcPr>
            <w:tcW w:w="4962" w:type="dxa"/>
            <w:tcBorders>
              <w:top w:val="nil"/>
              <w:left w:val="nil"/>
              <w:bottom w:val="double" w:sz="6" w:space="0" w:color="auto"/>
              <w:right w:val="nil"/>
            </w:tcBorders>
            <w:shd w:val="clear" w:color="000000" w:fill="FFFFFF"/>
            <w:vAlign w:val="center"/>
            <w:hideMark/>
          </w:tcPr>
          <w:p w14:paraId="6B22E8FF" w14:textId="77777777" w:rsidR="001373B6" w:rsidRPr="00846EEE" w:rsidRDefault="001373B6" w:rsidP="00997EF7">
            <w:pPr>
              <w:spacing w:after="0" w:line="240" w:lineRule="auto"/>
              <w:ind w:left="-105"/>
              <w:jc w:val="both"/>
              <w:rPr>
                <w:rFonts w:asciiTheme="minorHAnsi" w:hAnsiTheme="minorHAnsi" w:cstheme="minorHAnsi"/>
                <w:b/>
                <w:bCs/>
                <w:sz w:val="18"/>
                <w:szCs w:val="18"/>
              </w:rPr>
            </w:pPr>
            <w:r w:rsidRPr="00846EEE">
              <w:rPr>
                <w:rFonts w:asciiTheme="minorHAnsi" w:hAnsiTheme="minorHAnsi" w:cstheme="minorHAnsi"/>
                <w:b/>
                <w:bCs/>
                <w:sz w:val="18"/>
                <w:szCs w:val="18"/>
                <w:lang w:val="en-US"/>
              </w:rPr>
              <w:t>Net assets</w:t>
            </w:r>
          </w:p>
        </w:tc>
        <w:tc>
          <w:tcPr>
            <w:tcW w:w="1417" w:type="dxa"/>
            <w:tcBorders>
              <w:top w:val="nil"/>
              <w:left w:val="nil"/>
              <w:bottom w:val="double" w:sz="6" w:space="0" w:color="auto"/>
              <w:right w:val="nil"/>
            </w:tcBorders>
            <w:shd w:val="clear" w:color="000000" w:fill="FFFFFF"/>
            <w:noWrap/>
            <w:vAlign w:val="bottom"/>
            <w:hideMark/>
          </w:tcPr>
          <w:p w14:paraId="35516909" w14:textId="54260586" w:rsidR="001373B6" w:rsidRPr="00846EEE" w:rsidRDefault="00E37CE5" w:rsidP="00997EF7">
            <w:pPr>
              <w:spacing w:after="0" w:line="240" w:lineRule="auto"/>
              <w:ind w:right="-108"/>
              <w:jc w:val="right"/>
              <w:rPr>
                <w:rFonts w:asciiTheme="minorHAnsi" w:hAnsiTheme="minorHAnsi" w:cstheme="minorHAnsi"/>
                <w:color w:val="000000"/>
                <w:sz w:val="18"/>
                <w:szCs w:val="18"/>
              </w:rPr>
            </w:pPr>
            <w:r>
              <w:rPr>
                <w:rFonts w:asciiTheme="minorHAnsi" w:hAnsiTheme="minorHAnsi" w:cstheme="minorHAnsi"/>
                <w:color w:val="000000"/>
                <w:sz w:val="18"/>
                <w:szCs w:val="18"/>
              </w:rPr>
              <w:t>43,229</w:t>
            </w:r>
            <w:r w:rsidR="001373B6" w:rsidRPr="00846EEE">
              <w:rPr>
                <w:rFonts w:asciiTheme="minorHAnsi" w:hAnsiTheme="minorHAnsi" w:cstheme="minorHAnsi"/>
                <w:color w:val="000000"/>
                <w:sz w:val="18"/>
                <w:szCs w:val="18"/>
              </w:rPr>
              <w:t> </w:t>
            </w:r>
          </w:p>
        </w:tc>
        <w:tc>
          <w:tcPr>
            <w:tcW w:w="1417" w:type="dxa"/>
            <w:tcBorders>
              <w:top w:val="nil"/>
              <w:left w:val="nil"/>
              <w:bottom w:val="double" w:sz="6" w:space="0" w:color="auto"/>
              <w:right w:val="nil"/>
            </w:tcBorders>
            <w:shd w:val="clear" w:color="000000" w:fill="FFFFFF"/>
            <w:noWrap/>
            <w:vAlign w:val="bottom"/>
            <w:hideMark/>
          </w:tcPr>
          <w:p w14:paraId="0F37556A" w14:textId="77777777" w:rsidR="001373B6" w:rsidRPr="00846EEE" w:rsidRDefault="001373B6" w:rsidP="00997EF7">
            <w:pPr>
              <w:spacing w:after="0" w:line="240" w:lineRule="auto"/>
              <w:ind w:right="-57"/>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38,204 </w:t>
            </w:r>
          </w:p>
        </w:tc>
        <w:tc>
          <w:tcPr>
            <w:tcW w:w="1418" w:type="dxa"/>
            <w:tcBorders>
              <w:top w:val="nil"/>
              <w:left w:val="nil"/>
              <w:bottom w:val="double" w:sz="6" w:space="0" w:color="auto"/>
              <w:right w:val="nil"/>
            </w:tcBorders>
            <w:shd w:val="clear" w:color="000000" w:fill="FFFFFF"/>
            <w:noWrap/>
            <w:vAlign w:val="bottom"/>
            <w:hideMark/>
          </w:tcPr>
          <w:p w14:paraId="58D48080" w14:textId="77777777" w:rsidR="001373B6" w:rsidRPr="00846EEE" w:rsidRDefault="001373B6" w:rsidP="00997EF7">
            <w:pPr>
              <w:spacing w:after="0" w:line="240" w:lineRule="auto"/>
              <w:ind w:right="-57"/>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lang w:val="x-none"/>
              </w:rPr>
              <w:t xml:space="preserve">                43,493 </w:t>
            </w:r>
          </w:p>
        </w:tc>
      </w:tr>
      <w:tr w:rsidR="00551D5A" w:rsidRPr="00551D5A" w14:paraId="2976BA79" w14:textId="77777777" w:rsidTr="00997EF7">
        <w:trPr>
          <w:trHeight w:val="225"/>
        </w:trPr>
        <w:tc>
          <w:tcPr>
            <w:tcW w:w="4962" w:type="dxa"/>
            <w:tcBorders>
              <w:top w:val="nil"/>
              <w:left w:val="nil"/>
              <w:bottom w:val="nil"/>
              <w:right w:val="nil"/>
            </w:tcBorders>
            <w:shd w:val="clear" w:color="000000" w:fill="FFFFFF"/>
            <w:vAlign w:val="center"/>
            <w:hideMark/>
          </w:tcPr>
          <w:p w14:paraId="57708CD9" w14:textId="77777777" w:rsidR="001373B6" w:rsidRPr="00846EEE" w:rsidRDefault="001373B6" w:rsidP="00997EF7">
            <w:pPr>
              <w:spacing w:after="0" w:line="240" w:lineRule="auto"/>
              <w:ind w:left="-105"/>
              <w:jc w:val="both"/>
              <w:rPr>
                <w:rFonts w:asciiTheme="minorHAnsi" w:hAnsiTheme="minorHAnsi" w:cstheme="minorHAnsi"/>
                <w:b/>
                <w:bCs/>
                <w:sz w:val="18"/>
                <w:szCs w:val="18"/>
              </w:rPr>
            </w:pPr>
            <w:r w:rsidRPr="00846EEE">
              <w:rPr>
                <w:rFonts w:asciiTheme="minorHAnsi" w:hAnsiTheme="minorHAnsi" w:cstheme="minorHAnsi"/>
                <w:b/>
                <w:bCs/>
                <w:sz w:val="18"/>
                <w:szCs w:val="18"/>
                <w:lang w:val="en-US"/>
              </w:rPr>
              <w:t> </w:t>
            </w:r>
          </w:p>
        </w:tc>
        <w:tc>
          <w:tcPr>
            <w:tcW w:w="1417" w:type="dxa"/>
            <w:tcBorders>
              <w:top w:val="nil"/>
              <w:left w:val="nil"/>
              <w:bottom w:val="nil"/>
              <w:right w:val="nil"/>
            </w:tcBorders>
            <w:shd w:val="clear" w:color="000000" w:fill="FFFFFF"/>
            <w:noWrap/>
            <w:vAlign w:val="bottom"/>
            <w:hideMark/>
          </w:tcPr>
          <w:p w14:paraId="13D83847" w14:textId="77777777" w:rsidR="001373B6" w:rsidRPr="00846EEE" w:rsidRDefault="001373B6" w:rsidP="00997EF7">
            <w:pPr>
              <w:spacing w:after="0" w:line="240" w:lineRule="auto"/>
              <w:ind w:right="-108"/>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w:t>
            </w:r>
          </w:p>
        </w:tc>
        <w:tc>
          <w:tcPr>
            <w:tcW w:w="1417" w:type="dxa"/>
            <w:tcBorders>
              <w:top w:val="nil"/>
              <w:left w:val="nil"/>
              <w:bottom w:val="nil"/>
              <w:right w:val="nil"/>
            </w:tcBorders>
            <w:shd w:val="clear" w:color="000000" w:fill="FFFFFF"/>
            <w:noWrap/>
            <w:vAlign w:val="bottom"/>
            <w:hideMark/>
          </w:tcPr>
          <w:p w14:paraId="68F3AE4B" w14:textId="77777777" w:rsidR="001373B6" w:rsidRPr="00846EEE" w:rsidRDefault="001373B6" w:rsidP="00997EF7">
            <w:pPr>
              <w:spacing w:after="0" w:line="240" w:lineRule="auto"/>
              <w:ind w:right="-57"/>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w:t>
            </w:r>
          </w:p>
        </w:tc>
        <w:tc>
          <w:tcPr>
            <w:tcW w:w="1418" w:type="dxa"/>
            <w:tcBorders>
              <w:top w:val="nil"/>
              <w:left w:val="nil"/>
              <w:bottom w:val="nil"/>
              <w:right w:val="nil"/>
            </w:tcBorders>
            <w:shd w:val="clear" w:color="000000" w:fill="FFFFFF"/>
            <w:noWrap/>
            <w:vAlign w:val="bottom"/>
            <w:hideMark/>
          </w:tcPr>
          <w:p w14:paraId="67725D6B" w14:textId="77777777" w:rsidR="001373B6" w:rsidRPr="00846EEE" w:rsidRDefault="001373B6" w:rsidP="00997EF7">
            <w:pPr>
              <w:spacing w:after="0" w:line="240" w:lineRule="auto"/>
              <w:ind w:right="-57"/>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lang w:val="en-US"/>
              </w:rPr>
              <w:t> </w:t>
            </w:r>
          </w:p>
        </w:tc>
      </w:tr>
      <w:tr w:rsidR="00551D5A" w:rsidRPr="00551D5A" w14:paraId="08B81112" w14:textId="77777777" w:rsidTr="00997EF7">
        <w:trPr>
          <w:trHeight w:val="212"/>
        </w:trPr>
        <w:tc>
          <w:tcPr>
            <w:tcW w:w="4962" w:type="dxa"/>
            <w:tcBorders>
              <w:top w:val="nil"/>
              <w:left w:val="nil"/>
              <w:bottom w:val="nil"/>
              <w:right w:val="nil"/>
            </w:tcBorders>
            <w:shd w:val="clear" w:color="000000" w:fill="FFFFFF"/>
            <w:vAlign w:val="center"/>
            <w:hideMark/>
          </w:tcPr>
          <w:p w14:paraId="4ADC7D50" w14:textId="77777777" w:rsidR="001373B6" w:rsidRPr="00846EEE" w:rsidRDefault="001373B6" w:rsidP="00997EF7">
            <w:pPr>
              <w:spacing w:after="0" w:line="240" w:lineRule="auto"/>
              <w:ind w:left="-105"/>
              <w:jc w:val="both"/>
              <w:rPr>
                <w:rFonts w:asciiTheme="minorHAnsi" w:hAnsiTheme="minorHAnsi" w:cstheme="minorHAnsi"/>
                <w:sz w:val="18"/>
                <w:szCs w:val="18"/>
              </w:rPr>
            </w:pPr>
            <w:r w:rsidRPr="00846EEE">
              <w:rPr>
                <w:rFonts w:asciiTheme="minorHAnsi" w:hAnsiTheme="minorHAnsi" w:cstheme="minorHAnsi"/>
                <w:sz w:val="18"/>
                <w:szCs w:val="18"/>
                <w:lang w:val="en-US"/>
              </w:rPr>
              <w:t xml:space="preserve"> </w:t>
            </w:r>
            <w:r w:rsidRPr="00846EEE">
              <w:rPr>
                <w:rFonts w:asciiTheme="minorHAnsi" w:hAnsiTheme="minorHAnsi" w:cstheme="minorHAnsi"/>
                <w:b/>
                <w:bCs/>
                <w:sz w:val="18"/>
                <w:szCs w:val="18"/>
                <w:lang w:val="en-US"/>
              </w:rPr>
              <w:t>Equity</w:t>
            </w:r>
          </w:p>
        </w:tc>
        <w:tc>
          <w:tcPr>
            <w:tcW w:w="1417" w:type="dxa"/>
            <w:tcBorders>
              <w:top w:val="nil"/>
              <w:left w:val="nil"/>
              <w:bottom w:val="nil"/>
              <w:right w:val="nil"/>
            </w:tcBorders>
            <w:shd w:val="clear" w:color="000000" w:fill="FFFFFF"/>
            <w:noWrap/>
            <w:vAlign w:val="bottom"/>
            <w:hideMark/>
          </w:tcPr>
          <w:p w14:paraId="07C0393D" w14:textId="77777777" w:rsidR="001373B6" w:rsidRPr="00846EEE" w:rsidRDefault="001373B6" w:rsidP="00997EF7">
            <w:pPr>
              <w:spacing w:after="0" w:line="240" w:lineRule="auto"/>
              <w:ind w:right="-108"/>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w:t>
            </w:r>
          </w:p>
        </w:tc>
        <w:tc>
          <w:tcPr>
            <w:tcW w:w="1417" w:type="dxa"/>
            <w:tcBorders>
              <w:top w:val="nil"/>
              <w:left w:val="nil"/>
              <w:bottom w:val="nil"/>
              <w:right w:val="nil"/>
            </w:tcBorders>
            <w:shd w:val="clear" w:color="000000" w:fill="FFFFFF"/>
            <w:noWrap/>
            <w:vAlign w:val="bottom"/>
            <w:hideMark/>
          </w:tcPr>
          <w:p w14:paraId="74607E19" w14:textId="77777777" w:rsidR="001373B6" w:rsidRPr="00846EEE" w:rsidRDefault="001373B6" w:rsidP="00997EF7">
            <w:pPr>
              <w:spacing w:after="0" w:line="240" w:lineRule="auto"/>
              <w:ind w:right="-57"/>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w:t>
            </w:r>
          </w:p>
        </w:tc>
        <w:tc>
          <w:tcPr>
            <w:tcW w:w="1418" w:type="dxa"/>
            <w:tcBorders>
              <w:top w:val="nil"/>
              <w:left w:val="nil"/>
              <w:bottom w:val="nil"/>
              <w:right w:val="nil"/>
            </w:tcBorders>
            <w:shd w:val="clear" w:color="000000" w:fill="FFFFFF"/>
            <w:noWrap/>
            <w:vAlign w:val="bottom"/>
            <w:hideMark/>
          </w:tcPr>
          <w:p w14:paraId="34D273FA" w14:textId="77777777" w:rsidR="001373B6" w:rsidRPr="00846EEE" w:rsidRDefault="001373B6" w:rsidP="00997EF7">
            <w:pPr>
              <w:spacing w:after="0" w:line="240" w:lineRule="auto"/>
              <w:ind w:right="-57"/>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lang w:val="en-US"/>
              </w:rPr>
              <w:t> </w:t>
            </w:r>
          </w:p>
        </w:tc>
      </w:tr>
      <w:tr w:rsidR="00551D5A" w:rsidRPr="00551D5A" w14:paraId="3BE0F8B2" w14:textId="77777777" w:rsidTr="00997EF7">
        <w:trPr>
          <w:trHeight w:val="212"/>
        </w:trPr>
        <w:tc>
          <w:tcPr>
            <w:tcW w:w="4962" w:type="dxa"/>
            <w:tcBorders>
              <w:top w:val="nil"/>
              <w:left w:val="nil"/>
              <w:bottom w:val="nil"/>
              <w:right w:val="nil"/>
            </w:tcBorders>
            <w:shd w:val="clear" w:color="000000" w:fill="FFFFFF"/>
            <w:vAlign w:val="center"/>
            <w:hideMark/>
          </w:tcPr>
          <w:p w14:paraId="18738B73" w14:textId="77777777" w:rsidR="001373B6" w:rsidRPr="00846EEE" w:rsidRDefault="001373B6" w:rsidP="00997EF7">
            <w:pPr>
              <w:spacing w:after="0" w:line="240" w:lineRule="auto"/>
              <w:ind w:left="-105"/>
              <w:jc w:val="both"/>
              <w:rPr>
                <w:rFonts w:asciiTheme="minorHAnsi" w:hAnsiTheme="minorHAnsi" w:cstheme="minorHAnsi"/>
                <w:sz w:val="18"/>
                <w:szCs w:val="18"/>
              </w:rPr>
            </w:pPr>
            <w:r w:rsidRPr="00846EEE">
              <w:rPr>
                <w:rFonts w:asciiTheme="minorHAnsi" w:hAnsiTheme="minorHAnsi" w:cstheme="minorHAnsi"/>
                <w:sz w:val="18"/>
                <w:szCs w:val="18"/>
                <w:lang w:val="en-US"/>
              </w:rPr>
              <w:t>Share capital</w:t>
            </w:r>
          </w:p>
        </w:tc>
        <w:tc>
          <w:tcPr>
            <w:tcW w:w="1417" w:type="dxa"/>
            <w:tcBorders>
              <w:top w:val="nil"/>
              <w:left w:val="nil"/>
              <w:bottom w:val="nil"/>
              <w:right w:val="nil"/>
            </w:tcBorders>
            <w:shd w:val="clear" w:color="000000" w:fill="FFFFFF"/>
            <w:noWrap/>
            <w:vAlign w:val="bottom"/>
            <w:hideMark/>
          </w:tcPr>
          <w:p w14:paraId="23B97F30" w14:textId="65FB9632" w:rsidR="001373B6" w:rsidRPr="00846EEE" w:rsidRDefault="00E37CE5" w:rsidP="00997EF7">
            <w:pPr>
              <w:spacing w:after="0" w:line="240" w:lineRule="auto"/>
              <w:ind w:right="-108"/>
              <w:jc w:val="right"/>
              <w:rPr>
                <w:rFonts w:asciiTheme="minorHAnsi" w:hAnsiTheme="minorHAnsi" w:cstheme="minorHAnsi"/>
                <w:color w:val="000000"/>
                <w:sz w:val="18"/>
                <w:szCs w:val="18"/>
              </w:rPr>
            </w:pPr>
            <w:r>
              <w:rPr>
                <w:rFonts w:asciiTheme="minorHAnsi" w:hAnsiTheme="minorHAnsi" w:cstheme="minorHAnsi"/>
                <w:color w:val="000000"/>
                <w:sz w:val="18"/>
                <w:szCs w:val="18"/>
              </w:rPr>
              <w:t>223</w:t>
            </w:r>
            <w:r w:rsidR="001373B6" w:rsidRPr="00846EEE">
              <w:rPr>
                <w:rFonts w:asciiTheme="minorHAnsi" w:hAnsiTheme="minorHAnsi" w:cstheme="minorHAnsi"/>
                <w:color w:val="000000"/>
                <w:sz w:val="18"/>
                <w:szCs w:val="18"/>
              </w:rPr>
              <w:t> </w:t>
            </w:r>
          </w:p>
        </w:tc>
        <w:tc>
          <w:tcPr>
            <w:tcW w:w="1417" w:type="dxa"/>
            <w:tcBorders>
              <w:top w:val="nil"/>
              <w:left w:val="nil"/>
              <w:bottom w:val="nil"/>
              <w:right w:val="nil"/>
            </w:tcBorders>
            <w:shd w:val="clear" w:color="000000" w:fill="FFFFFF"/>
            <w:noWrap/>
            <w:vAlign w:val="bottom"/>
            <w:hideMark/>
          </w:tcPr>
          <w:p w14:paraId="1E51280F" w14:textId="23BA63D0" w:rsidR="001373B6" w:rsidRPr="00846EEE" w:rsidRDefault="001373B6" w:rsidP="00997EF7">
            <w:pPr>
              <w:spacing w:after="0" w:line="240" w:lineRule="auto"/>
              <w:ind w:right="-57"/>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2</w:t>
            </w:r>
            <w:r w:rsidR="00C8221A">
              <w:rPr>
                <w:rFonts w:asciiTheme="minorHAnsi" w:hAnsiTheme="minorHAnsi" w:cstheme="minorHAnsi"/>
                <w:color w:val="000000"/>
                <w:sz w:val="18"/>
                <w:szCs w:val="18"/>
              </w:rPr>
              <w:t>2</w:t>
            </w:r>
            <w:r w:rsidRPr="00846EEE">
              <w:rPr>
                <w:rFonts w:asciiTheme="minorHAnsi" w:hAnsiTheme="minorHAnsi" w:cstheme="minorHAnsi"/>
                <w:color w:val="000000"/>
                <w:sz w:val="18"/>
                <w:szCs w:val="18"/>
              </w:rPr>
              <w:t xml:space="preserve">3 </w:t>
            </w:r>
          </w:p>
        </w:tc>
        <w:tc>
          <w:tcPr>
            <w:tcW w:w="1418" w:type="dxa"/>
            <w:tcBorders>
              <w:top w:val="nil"/>
              <w:left w:val="nil"/>
              <w:bottom w:val="nil"/>
              <w:right w:val="nil"/>
            </w:tcBorders>
            <w:shd w:val="clear" w:color="000000" w:fill="FFFFFF"/>
            <w:noWrap/>
            <w:vAlign w:val="bottom"/>
            <w:hideMark/>
          </w:tcPr>
          <w:p w14:paraId="2A7A9633" w14:textId="77777777" w:rsidR="001373B6" w:rsidRPr="00846EEE" w:rsidRDefault="001373B6" w:rsidP="00997EF7">
            <w:pPr>
              <w:spacing w:after="0" w:line="240" w:lineRule="auto"/>
              <w:ind w:right="-57"/>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lang w:val="x-none"/>
              </w:rPr>
              <w:t xml:space="preserve">                     223 </w:t>
            </w:r>
          </w:p>
        </w:tc>
      </w:tr>
      <w:tr w:rsidR="00551D5A" w:rsidRPr="00551D5A" w14:paraId="104EB17D" w14:textId="77777777" w:rsidTr="00997EF7">
        <w:trPr>
          <w:trHeight w:val="212"/>
        </w:trPr>
        <w:tc>
          <w:tcPr>
            <w:tcW w:w="4962" w:type="dxa"/>
            <w:tcBorders>
              <w:top w:val="nil"/>
              <w:left w:val="nil"/>
              <w:bottom w:val="nil"/>
              <w:right w:val="nil"/>
            </w:tcBorders>
            <w:shd w:val="clear" w:color="000000" w:fill="FFFFFF"/>
            <w:vAlign w:val="center"/>
            <w:hideMark/>
          </w:tcPr>
          <w:p w14:paraId="40B19A28" w14:textId="77777777" w:rsidR="001373B6" w:rsidRPr="00846EEE" w:rsidRDefault="001373B6" w:rsidP="00997EF7">
            <w:pPr>
              <w:spacing w:after="0" w:line="240" w:lineRule="auto"/>
              <w:ind w:left="-105"/>
              <w:jc w:val="both"/>
              <w:rPr>
                <w:rFonts w:asciiTheme="minorHAnsi" w:hAnsiTheme="minorHAnsi" w:cstheme="minorHAnsi"/>
                <w:sz w:val="18"/>
                <w:szCs w:val="18"/>
              </w:rPr>
            </w:pPr>
            <w:r w:rsidRPr="00846EEE">
              <w:rPr>
                <w:rFonts w:asciiTheme="minorHAnsi" w:hAnsiTheme="minorHAnsi" w:cstheme="minorHAnsi"/>
                <w:sz w:val="18"/>
                <w:szCs w:val="18"/>
                <w:lang w:val="en-US"/>
              </w:rPr>
              <w:t>Share premium</w:t>
            </w:r>
          </w:p>
        </w:tc>
        <w:tc>
          <w:tcPr>
            <w:tcW w:w="1417" w:type="dxa"/>
            <w:tcBorders>
              <w:top w:val="nil"/>
              <w:left w:val="nil"/>
              <w:bottom w:val="nil"/>
              <w:right w:val="nil"/>
            </w:tcBorders>
            <w:shd w:val="clear" w:color="000000" w:fill="FFFFFF"/>
            <w:noWrap/>
            <w:vAlign w:val="bottom"/>
            <w:hideMark/>
          </w:tcPr>
          <w:p w14:paraId="7873D408" w14:textId="7E6A4ACA" w:rsidR="001373B6" w:rsidRPr="00846EEE" w:rsidRDefault="00E37CE5" w:rsidP="00997EF7">
            <w:pPr>
              <w:spacing w:after="0" w:line="240" w:lineRule="auto"/>
              <w:ind w:right="-108"/>
              <w:jc w:val="right"/>
              <w:rPr>
                <w:rFonts w:asciiTheme="minorHAnsi" w:hAnsiTheme="minorHAnsi" w:cstheme="minorHAnsi"/>
                <w:color w:val="000000"/>
                <w:sz w:val="18"/>
                <w:szCs w:val="18"/>
              </w:rPr>
            </w:pPr>
            <w:r>
              <w:rPr>
                <w:rFonts w:asciiTheme="minorHAnsi" w:hAnsiTheme="minorHAnsi" w:cstheme="minorHAnsi"/>
                <w:color w:val="000000"/>
                <w:sz w:val="18"/>
                <w:szCs w:val="18"/>
              </w:rPr>
              <w:t>14,334</w:t>
            </w:r>
            <w:r w:rsidR="001373B6" w:rsidRPr="00846EEE">
              <w:rPr>
                <w:rFonts w:asciiTheme="minorHAnsi" w:hAnsiTheme="minorHAnsi" w:cstheme="minorHAnsi"/>
                <w:color w:val="000000"/>
                <w:sz w:val="18"/>
                <w:szCs w:val="18"/>
              </w:rPr>
              <w:t> </w:t>
            </w:r>
          </w:p>
        </w:tc>
        <w:tc>
          <w:tcPr>
            <w:tcW w:w="1417" w:type="dxa"/>
            <w:tcBorders>
              <w:top w:val="nil"/>
              <w:left w:val="nil"/>
              <w:bottom w:val="nil"/>
              <w:right w:val="nil"/>
            </w:tcBorders>
            <w:shd w:val="clear" w:color="000000" w:fill="FFFFFF"/>
            <w:noWrap/>
            <w:vAlign w:val="bottom"/>
            <w:hideMark/>
          </w:tcPr>
          <w:p w14:paraId="0E9A3F81" w14:textId="77777777" w:rsidR="001373B6" w:rsidRPr="00846EEE" w:rsidRDefault="001373B6" w:rsidP="00997EF7">
            <w:pPr>
              <w:spacing w:after="0" w:line="240" w:lineRule="auto"/>
              <w:ind w:right="-57"/>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14,334 </w:t>
            </w:r>
          </w:p>
        </w:tc>
        <w:tc>
          <w:tcPr>
            <w:tcW w:w="1418" w:type="dxa"/>
            <w:tcBorders>
              <w:top w:val="nil"/>
              <w:left w:val="nil"/>
              <w:bottom w:val="nil"/>
              <w:right w:val="nil"/>
            </w:tcBorders>
            <w:shd w:val="clear" w:color="000000" w:fill="FFFFFF"/>
            <w:noWrap/>
            <w:vAlign w:val="bottom"/>
            <w:hideMark/>
          </w:tcPr>
          <w:p w14:paraId="4E82F06F" w14:textId="77777777" w:rsidR="001373B6" w:rsidRPr="00846EEE" w:rsidRDefault="001373B6" w:rsidP="00997EF7">
            <w:pPr>
              <w:spacing w:after="0" w:line="240" w:lineRule="auto"/>
              <w:ind w:right="-57"/>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lang w:val="x-none"/>
              </w:rPr>
              <w:t xml:space="preserve">                14,334 </w:t>
            </w:r>
          </w:p>
        </w:tc>
      </w:tr>
      <w:tr w:rsidR="00551D5A" w:rsidRPr="00551D5A" w14:paraId="7F88BE3E" w14:textId="77777777" w:rsidTr="00997EF7">
        <w:trPr>
          <w:trHeight w:val="212"/>
        </w:trPr>
        <w:tc>
          <w:tcPr>
            <w:tcW w:w="4962" w:type="dxa"/>
            <w:tcBorders>
              <w:top w:val="nil"/>
              <w:left w:val="nil"/>
              <w:bottom w:val="nil"/>
              <w:right w:val="nil"/>
            </w:tcBorders>
            <w:shd w:val="clear" w:color="000000" w:fill="FFFFFF"/>
            <w:vAlign w:val="center"/>
            <w:hideMark/>
          </w:tcPr>
          <w:p w14:paraId="35FBAFC0" w14:textId="77777777" w:rsidR="001373B6" w:rsidRPr="00846EEE" w:rsidRDefault="001373B6" w:rsidP="00997EF7">
            <w:pPr>
              <w:spacing w:after="0" w:line="240" w:lineRule="auto"/>
              <w:ind w:left="-105"/>
              <w:jc w:val="both"/>
              <w:rPr>
                <w:rFonts w:asciiTheme="minorHAnsi" w:hAnsiTheme="minorHAnsi" w:cstheme="minorHAnsi"/>
                <w:sz w:val="18"/>
                <w:szCs w:val="18"/>
              </w:rPr>
            </w:pPr>
            <w:r w:rsidRPr="00846EEE">
              <w:rPr>
                <w:rFonts w:asciiTheme="minorHAnsi" w:hAnsiTheme="minorHAnsi" w:cstheme="minorHAnsi"/>
                <w:sz w:val="18"/>
                <w:szCs w:val="18"/>
                <w:lang w:val="en-US"/>
              </w:rPr>
              <w:t>Employee Benefit Trust reserve</w:t>
            </w:r>
          </w:p>
        </w:tc>
        <w:tc>
          <w:tcPr>
            <w:tcW w:w="1417" w:type="dxa"/>
            <w:tcBorders>
              <w:top w:val="nil"/>
              <w:left w:val="nil"/>
              <w:bottom w:val="nil"/>
              <w:right w:val="nil"/>
            </w:tcBorders>
            <w:shd w:val="clear" w:color="000000" w:fill="FFFFFF"/>
            <w:noWrap/>
            <w:vAlign w:val="bottom"/>
            <w:hideMark/>
          </w:tcPr>
          <w:p w14:paraId="13921A17" w14:textId="551CD223" w:rsidR="001373B6" w:rsidRPr="00846EEE" w:rsidRDefault="00E37CE5" w:rsidP="00997EF7">
            <w:pPr>
              <w:spacing w:after="0" w:line="240" w:lineRule="auto"/>
              <w:ind w:right="-108"/>
              <w:jc w:val="right"/>
              <w:rPr>
                <w:rFonts w:asciiTheme="minorHAnsi" w:hAnsiTheme="minorHAnsi" w:cstheme="minorHAnsi"/>
                <w:color w:val="000000"/>
                <w:sz w:val="18"/>
                <w:szCs w:val="18"/>
              </w:rPr>
            </w:pPr>
            <w:r>
              <w:rPr>
                <w:rFonts w:asciiTheme="minorHAnsi" w:hAnsiTheme="minorHAnsi" w:cstheme="minorHAnsi"/>
                <w:color w:val="000000"/>
                <w:sz w:val="18"/>
                <w:szCs w:val="18"/>
              </w:rPr>
              <w:t>(1,815)</w:t>
            </w:r>
            <w:r w:rsidR="001373B6" w:rsidRPr="00846EEE">
              <w:rPr>
                <w:rFonts w:asciiTheme="minorHAnsi" w:hAnsiTheme="minorHAnsi" w:cstheme="minorHAnsi"/>
                <w:color w:val="000000"/>
                <w:sz w:val="18"/>
                <w:szCs w:val="18"/>
              </w:rPr>
              <w:t> </w:t>
            </w:r>
          </w:p>
        </w:tc>
        <w:tc>
          <w:tcPr>
            <w:tcW w:w="1417" w:type="dxa"/>
            <w:tcBorders>
              <w:top w:val="nil"/>
              <w:left w:val="nil"/>
              <w:bottom w:val="nil"/>
              <w:right w:val="nil"/>
            </w:tcBorders>
            <w:shd w:val="clear" w:color="000000" w:fill="FFFFFF"/>
            <w:noWrap/>
            <w:vAlign w:val="bottom"/>
            <w:hideMark/>
          </w:tcPr>
          <w:p w14:paraId="66FFA6D1" w14:textId="77777777" w:rsidR="001373B6" w:rsidRPr="00846EEE" w:rsidRDefault="001373B6" w:rsidP="00997EF7">
            <w:pPr>
              <w:spacing w:after="0" w:line="240" w:lineRule="auto"/>
              <w:ind w:right="-57"/>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(2,072)</w:t>
            </w:r>
          </w:p>
        </w:tc>
        <w:tc>
          <w:tcPr>
            <w:tcW w:w="1418" w:type="dxa"/>
            <w:tcBorders>
              <w:top w:val="nil"/>
              <w:left w:val="nil"/>
              <w:bottom w:val="nil"/>
              <w:right w:val="nil"/>
            </w:tcBorders>
            <w:shd w:val="clear" w:color="000000" w:fill="FFFFFF"/>
            <w:noWrap/>
            <w:vAlign w:val="bottom"/>
            <w:hideMark/>
          </w:tcPr>
          <w:p w14:paraId="78AF7E2F" w14:textId="77777777" w:rsidR="001373B6" w:rsidRPr="00846EEE" w:rsidRDefault="001373B6" w:rsidP="00997EF7">
            <w:pPr>
              <w:spacing w:after="0" w:line="240" w:lineRule="auto"/>
              <w:ind w:right="-57"/>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lang w:val="x-none"/>
              </w:rPr>
              <w:t xml:space="preserve">                 (1,571)</w:t>
            </w:r>
          </w:p>
        </w:tc>
      </w:tr>
      <w:tr w:rsidR="00551D5A" w:rsidRPr="00551D5A" w14:paraId="626E9D12" w14:textId="77777777" w:rsidTr="00997EF7">
        <w:trPr>
          <w:trHeight w:val="212"/>
        </w:trPr>
        <w:tc>
          <w:tcPr>
            <w:tcW w:w="4962" w:type="dxa"/>
            <w:tcBorders>
              <w:top w:val="nil"/>
              <w:left w:val="nil"/>
              <w:bottom w:val="nil"/>
              <w:right w:val="nil"/>
            </w:tcBorders>
            <w:shd w:val="clear" w:color="000000" w:fill="FFFFFF"/>
            <w:vAlign w:val="center"/>
            <w:hideMark/>
          </w:tcPr>
          <w:p w14:paraId="3BF74364" w14:textId="77777777" w:rsidR="001373B6" w:rsidRPr="00846EEE" w:rsidRDefault="001373B6" w:rsidP="00997EF7">
            <w:pPr>
              <w:spacing w:after="0" w:line="240" w:lineRule="auto"/>
              <w:ind w:left="-105"/>
              <w:jc w:val="both"/>
              <w:rPr>
                <w:rFonts w:asciiTheme="minorHAnsi" w:hAnsiTheme="minorHAnsi" w:cstheme="minorHAnsi"/>
                <w:sz w:val="18"/>
                <w:szCs w:val="18"/>
              </w:rPr>
            </w:pPr>
            <w:r w:rsidRPr="00846EEE">
              <w:rPr>
                <w:rFonts w:asciiTheme="minorHAnsi" w:hAnsiTheme="minorHAnsi" w:cstheme="minorHAnsi"/>
                <w:sz w:val="18"/>
                <w:szCs w:val="18"/>
                <w:lang w:val="en-US"/>
              </w:rPr>
              <w:t>Share-based payment reserve</w:t>
            </w:r>
          </w:p>
        </w:tc>
        <w:tc>
          <w:tcPr>
            <w:tcW w:w="1417" w:type="dxa"/>
            <w:tcBorders>
              <w:top w:val="nil"/>
              <w:left w:val="nil"/>
              <w:bottom w:val="nil"/>
              <w:right w:val="nil"/>
            </w:tcBorders>
            <w:shd w:val="clear" w:color="000000" w:fill="FFFFFF"/>
            <w:noWrap/>
            <w:vAlign w:val="bottom"/>
            <w:hideMark/>
          </w:tcPr>
          <w:p w14:paraId="17E11857" w14:textId="19AB51AB" w:rsidR="001373B6" w:rsidRPr="00846EEE" w:rsidRDefault="00E37CE5" w:rsidP="00997EF7">
            <w:pPr>
              <w:spacing w:after="0" w:line="240" w:lineRule="auto"/>
              <w:ind w:right="-108"/>
              <w:jc w:val="right"/>
              <w:rPr>
                <w:rFonts w:asciiTheme="minorHAnsi" w:hAnsiTheme="minorHAnsi" w:cstheme="minorHAnsi"/>
                <w:color w:val="000000"/>
                <w:sz w:val="18"/>
                <w:szCs w:val="18"/>
              </w:rPr>
            </w:pPr>
            <w:r>
              <w:rPr>
                <w:rFonts w:asciiTheme="minorHAnsi" w:hAnsiTheme="minorHAnsi" w:cstheme="minorHAnsi"/>
                <w:color w:val="000000"/>
                <w:sz w:val="18"/>
                <w:szCs w:val="18"/>
              </w:rPr>
              <w:t>1,197</w:t>
            </w:r>
            <w:r w:rsidR="001373B6" w:rsidRPr="00846EEE">
              <w:rPr>
                <w:rFonts w:asciiTheme="minorHAnsi" w:hAnsiTheme="minorHAnsi" w:cstheme="minorHAnsi"/>
                <w:color w:val="000000"/>
                <w:sz w:val="18"/>
                <w:szCs w:val="18"/>
              </w:rPr>
              <w:t> </w:t>
            </w:r>
          </w:p>
        </w:tc>
        <w:tc>
          <w:tcPr>
            <w:tcW w:w="1417" w:type="dxa"/>
            <w:tcBorders>
              <w:top w:val="nil"/>
              <w:left w:val="nil"/>
              <w:bottom w:val="nil"/>
              <w:right w:val="nil"/>
            </w:tcBorders>
            <w:shd w:val="clear" w:color="000000" w:fill="FFFFFF"/>
            <w:noWrap/>
            <w:vAlign w:val="bottom"/>
            <w:hideMark/>
          </w:tcPr>
          <w:p w14:paraId="316F803F" w14:textId="77777777" w:rsidR="001373B6" w:rsidRPr="00846EEE" w:rsidRDefault="001373B6" w:rsidP="00997EF7">
            <w:pPr>
              <w:spacing w:after="0" w:line="240" w:lineRule="auto"/>
              <w:ind w:right="-57"/>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1,099 </w:t>
            </w:r>
          </w:p>
        </w:tc>
        <w:tc>
          <w:tcPr>
            <w:tcW w:w="1418" w:type="dxa"/>
            <w:tcBorders>
              <w:top w:val="nil"/>
              <w:left w:val="nil"/>
              <w:bottom w:val="nil"/>
              <w:right w:val="nil"/>
            </w:tcBorders>
            <w:shd w:val="clear" w:color="000000" w:fill="FFFFFF"/>
            <w:noWrap/>
            <w:vAlign w:val="bottom"/>
            <w:hideMark/>
          </w:tcPr>
          <w:p w14:paraId="1D97C509" w14:textId="77777777" w:rsidR="001373B6" w:rsidRPr="00846EEE" w:rsidRDefault="001373B6" w:rsidP="00997EF7">
            <w:pPr>
              <w:spacing w:after="0" w:line="240" w:lineRule="auto"/>
              <w:ind w:right="-57"/>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lang w:val="x-none"/>
              </w:rPr>
              <w:t xml:space="preserve">                  1,166 </w:t>
            </w:r>
          </w:p>
        </w:tc>
      </w:tr>
      <w:tr w:rsidR="00551D5A" w:rsidRPr="00551D5A" w14:paraId="64D5E8AB" w14:textId="77777777" w:rsidTr="00997EF7">
        <w:trPr>
          <w:trHeight w:val="212"/>
        </w:trPr>
        <w:tc>
          <w:tcPr>
            <w:tcW w:w="4962" w:type="dxa"/>
            <w:tcBorders>
              <w:top w:val="nil"/>
              <w:left w:val="nil"/>
              <w:bottom w:val="nil"/>
              <w:right w:val="nil"/>
            </w:tcBorders>
            <w:shd w:val="clear" w:color="000000" w:fill="FFFFFF"/>
            <w:vAlign w:val="center"/>
            <w:hideMark/>
          </w:tcPr>
          <w:p w14:paraId="488C9B39" w14:textId="77777777" w:rsidR="001373B6" w:rsidRPr="00846EEE" w:rsidRDefault="001373B6" w:rsidP="00997EF7">
            <w:pPr>
              <w:spacing w:after="0" w:line="240" w:lineRule="auto"/>
              <w:ind w:left="-105"/>
              <w:jc w:val="both"/>
              <w:rPr>
                <w:rFonts w:asciiTheme="minorHAnsi" w:hAnsiTheme="minorHAnsi" w:cstheme="minorHAnsi"/>
                <w:sz w:val="18"/>
                <w:szCs w:val="18"/>
              </w:rPr>
            </w:pPr>
            <w:r w:rsidRPr="00846EEE">
              <w:rPr>
                <w:rFonts w:asciiTheme="minorHAnsi" w:hAnsiTheme="minorHAnsi" w:cstheme="minorHAnsi"/>
                <w:sz w:val="18"/>
                <w:szCs w:val="18"/>
                <w:lang w:val="en-US"/>
              </w:rPr>
              <w:t>Hedging reserve</w:t>
            </w:r>
          </w:p>
        </w:tc>
        <w:tc>
          <w:tcPr>
            <w:tcW w:w="1417" w:type="dxa"/>
            <w:tcBorders>
              <w:top w:val="nil"/>
              <w:left w:val="nil"/>
              <w:bottom w:val="nil"/>
              <w:right w:val="nil"/>
            </w:tcBorders>
            <w:shd w:val="clear" w:color="000000" w:fill="FFFFFF"/>
            <w:noWrap/>
            <w:vAlign w:val="bottom"/>
            <w:hideMark/>
          </w:tcPr>
          <w:p w14:paraId="552BB1D2" w14:textId="35A84EE1" w:rsidR="001373B6" w:rsidRPr="00846EEE" w:rsidRDefault="00E37CE5" w:rsidP="00997EF7">
            <w:pPr>
              <w:spacing w:after="0" w:line="240" w:lineRule="auto"/>
              <w:ind w:right="-108"/>
              <w:jc w:val="right"/>
              <w:rPr>
                <w:rFonts w:asciiTheme="minorHAnsi" w:hAnsiTheme="minorHAnsi" w:cstheme="minorHAnsi"/>
                <w:color w:val="000000"/>
                <w:sz w:val="18"/>
                <w:szCs w:val="18"/>
              </w:rPr>
            </w:pPr>
            <w:r>
              <w:rPr>
                <w:rFonts w:asciiTheme="minorHAnsi" w:hAnsiTheme="minorHAnsi" w:cstheme="minorHAnsi"/>
                <w:color w:val="000000"/>
                <w:sz w:val="18"/>
                <w:szCs w:val="18"/>
              </w:rPr>
              <w:t>22</w:t>
            </w:r>
            <w:r w:rsidR="001373B6" w:rsidRPr="00846EEE">
              <w:rPr>
                <w:rFonts w:asciiTheme="minorHAnsi" w:hAnsiTheme="minorHAnsi" w:cstheme="minorHAnsi"/>
                <w:color w:val="000000"/>
                <w:sz w:val="18"/>
                <w:szCs w:val="18"/>
              </w:rPr>
              <w:t> </w:t>
            </w:r>
          </w:p>
        </w:tc>
        <w:tc>
          <w:tcPr>
            <w:tcW w:w="1417" w:type="dxa"/>
            <w:tcBorders>
              <w:top w:val="nil"/>
              <w:left w:val="nil"/>
              <w:bottom w:val="nil"/>
              <w:right w:val="nil"/>
            </w:tcBorders>
            <w:shd w:val="clear" w:color="000000" w:fill="FFFFFF"/>
            <w:noWrap/>
            <w:vAlign w:val="bottom"/>
            <w:hideMark/>
          </w:tcPr>
          <w:p w14:paraId="0851B682" w14:textId="77777777" w:rsidR="001373B6" w:rsidRPr="00846EEE" w:rsidRDefault="001373B6" w:rsidP="00997EF7">
            <w:pPr>
              <w:spacing w:after="0" w:line="240" w:lineRule="auto"/>
              <w:ind w:right="-57"/>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967 </w:t>
            </w:r>
          </w:p>
        </w:tc>
        <w:tc>
          <w:tcPr>
            <w:tcW w:w="1418" w:type="dxa"/>
            <w:tcBorders>
              <w:top w:val="nil"/>
              <w:left w:val="nil"/>
              <w:bottom w:val="nil"/>
              <w:right w:val="nil"/>
            </w:tcBorders>
            <w:shd w:val="clear" w:color="000000" w:fill="FFFFFF"/>
            <w:noWrap/>
            <w:vAlign w:val="bottom"/>
            <w:hideMark/>
          </w:tcPr>
          <w:p w14:paraId="41D35E50" w14:textId="77777777" w:rsidR="001373B6" w:rsidRPr="00846EEE" w:rsidRDefault="001373B6" w:rsidP="00997EF7">
            <w:pPr>
              <w:spacing w:after="0" w:line="240" w:lineRule="auto"/>
              <w:ind w:right="-57"/>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lang w:val="x-none"/>
              </w:rPr>
              <w:t xml:space="preserve">                  3,239 </w:t>
            </w:r>
          </w:p>
        </w:tc>
      </w:tr>
      <w:tr w:rsidR="00551D5A" w:rsidRPr="00551D5A" w14:paraId="7B9E9402" w14:textId="77777777" w:rsidTr="00997EF7">
        <w:trPr>
          <w:trHeight w:val="225"/>
        </w:trPr>
        <w:tc>
          <w:tcPr>
            <w:tcW w:w="4962" w:type="dxa"/>
            <w:tcBorders>
              <w:top w:val="nil"/>
              <w:left w:val="nil"/>
              <w:bottom w:val="single" w:sz="8" w:space="0" w:color="auto"/>
              <w:right w:val="nil"/>
            </w:tcBorders>
            <w:shd w:val="clear" w:color="000000" w:fill="FFFFFF"/>
            <w:vAlign w:val="center"/>
            <w:hideMark/>
          </w:tcPr>
          <w:p w14:paraId="7D4BDE81" w14:textId="77777777" w:rsidR="001373B6" w:rsidRPr="00846EEE" w:rsidRDefault="001373B6" w:rsidP="00997EF7">
            <w:pPr>
              <w:spacing w:after="0" w:line="240" w:lineRule="auto"/>
              <w:ind w:left="-105"/>
              <w:jc w:val="both"/>
              <w:rPr>
                <w:rFonts w:asciiTheme="minorHAnsi" w:hAnsiTheme="minorHAnsi" w:cstheme="minorHAnsi"/>
                <w:sz w:val="18"/>
                <w:szCs w:val="18"/>
              </w:rPr>
            </w:pPr>
            <w:r w:rsidRPr="00846EEE">
              <w:rPr>
                <w:rFonts w:asciiTheme="minorHAnsi" w:hAnsiTheme="minorHAnsi" w:cstheme="minorHAnsi"/>
                <w:sz w:val="18"/>
                <w:szCs w:val="18"/>
                <w:lang w:val="en-US"/>
              </w:rPr>
              <w:t>Retained earnings</w:t>
            </w:r>
          </w:p>
        </w:tc>
        <w:tc>
          <w:tcPr>
            <w:tcW w:w="1417" w:type="dxa"/>
            <w:tcBorders>
              <w:top w:val="nil"/>
              <w:left w:val="nil"/>
              <w:bottom w:val="single" w:sz="8" w:space="0" w:color="auto"/>
              <w:right w:val="nil"/>
            </w:tcBorders>
            <w:shd w:val="clear" w:color="000000" w:fill="FFFFFF"/>
            <w:noWrap/>
            <w:vAlign w:val="bottom"/>
            <w:hideMark/>
          </w:tcPr>
          <w:p w14:paraId="62A3FAC4" w14:textId="3FE28E13" w:rsidR="001373B6" w:rsidRPr="00846EEE" w:rsidRDefault="00E37CE5" w:rsidP="00997EF7">
            <w:pPr>
              <w:spacing w:after="0" w:line="240" w:lineRule="auto"/>
              <w:ind w:right="-108"/>
              <w:jc w:val="right"/>
              <w:rPr>
                <w:rFonts w:asciiTheme="minorHAnsi" w:hAnsiTheme="minorHAnsi" w:cstheme="minorHAnsi"/>
                <w:color w:val="000000"/>
                <w:sz w:val="18"/>
                <w:szCs w:val="18"/>
              </w:rPr>
            </w:pPr>
            <w:r>
              <w:rPr>
                <w:rFonts w:asciiTheme="minorHAnsi" w:hAnsiTheme="minorHAnsi" w:cstheme="minorHAnsi"/>
                <w:color w:val="000000"/>
                <w:sz w:val="18"/>
                <w:szCs w:val="18"/>
              </w:rPr>
              <w:t>29,268</w:t>
            </w:r>
            <w:r w:rsidR="001373B6" w:rsidRPr="00846EEE">
              <w:rPr>
                <w:rFonts w:asciiTheme="minorHAnsi" w:hAnsiTheme="minorHAnsi" w:cstheme="minorHAnsi"/>
                <w:color w:val="000000"/>
                <w:sz w:val="18"/>
                <w:szCs w:val="18"/>
              </w:rPr>
              <w:t> </w:t>
            </w:r>
          </w:p>
        </w:tc>
        <w:tc>
          <w:tcPr>
            <w:tcW w:w="1417" w:type="dxa"/>
            <w:tcBorders>
              <w:top w:val="nil"/>
              <w:left w:val="nil"/>
              <w:bottom w:val="single" w:sz="8" w:space="0" w:color="auto"/>
              <w:right w:val="nil"/>
            </w:tcBorders>
            <w:shd w:val="clear" w:color="000000" w:fill="FFFFFF"/>
            <w:noWrap/>
            <w:vAlign w:val="bottom"/>
            <w:hideMark/>
          </w:tcPr>
          <w:p w14:paraId="47D80D71" w14:textId="77777777" w:rsidR="001373B6" w:rsidRPr="00846EEE" w:rsidRDefault="001373B6" w:rsidP="00997EF7">
            <w:pPr>
              <w:spacing w:after="0" w:line="240" w:lineRule="auto"/>
              <w:ind w:right="-57"/>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23,653 </w:t>
            </w:r>
          </w:p>
        </w:tc>
        <w:tc>
          <w:tcPr>
            <w:tcW w:w="1418" w:type="dxa"/>
            <w:tcBorders>
              <w:top w:val="nil"/>
              <w:left w:val="nil"/>
              <w:bottom w:val="single" w:sz="8" w:space="0" w:color="auto"/>
              <w:right w:val="nil"/>
            </w:tcBorders>
            <w:shd w:val="clear" w:color="000000" w:fill="FFFFFF"/>
            <w:noWrap/>
            <w:vAlign w:val="bottom"/>
            <w:hideMark/>
          </w:tcPr>
          <w:p w14:paraId="46887288" w14:textId="77777777" w:rsidR="001373B6" w:rsidRPr="00846EEE" w:rsidRDefault="001373B6" w:rsidP="00997EF7">
            <w:pPr>
              <w:spacing w:after="0" w:line="240" w:lineRule="auto"/>
              <w:ind w:right="-57"/>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lang w:val="x-none"/>
              </w:rPr>
              <w:t xml:space="preserve">                26,102 </w:t>
            </w:r>
          </w:p>
        </w:tc>
      </w:tr>
      <w:tr w:rsidR="00551D5A" w:rsidRPr="00551D5A" w14:paraId="148CD798" w14:textId="77777777" w:rsidTr="00997EF7">
        <w:trPr>
          <w:trHeight w:val="225"/>
        </w:trPr>
        <w:tc>
          <w:tcPr>
            <w:tcW w:w="4962" w:type="dxa"/>
            <w:tcBorders>
              <w:top w:val="nil"/>
              <w:left w:val="nil"/>
              <w:bottom w:val="double" w:sz="6" w:space="0" w:color="auto"/>
              <w:right w:val="nil"/>
            </w:tcBorders>
            <w:shd w:val="clear" w:color="000000" w:fill="FFFFFF"/>
            <w:vAlign w:val="center"/>
            <w:hideMark/>
          </w:tcPr>
          <w:p w14:paraId="0DA1114F" w14:textId="77777777" w:rsidR="001373B6" w:rsidRPr="00846EEE" w:rsidRDefault="001373B6" w:rsidP="00997EF7">
            <w:pPr>
              <w:spacing w:after="0" w:line="240" w:lineRule="auto"/>
              <w:ind w:left="-105"/>
              <w:jc w:val="both"/>
              <w:rPr>
                <w:rFonts w:asciiTheme="minorHAnsi" w:hAnsiTheme="minorHAnsi" w:cstheme="minorHAnsi"/>
                <w:b/>
                <w:bCs/>
                <w:sz w:val="18"/>
                <w:szCs w:val="18"/>
              </w:rPr>
            </w:pPr>
            <w:r w:rsidRPr="00846EEE">
              <w:rPr>
                <w:rFonts w:asciiTheme="minorHAnsi" w:hAnsiTheme="minorHAnsi" w:cstheme="minorHAnsi"/>
                <w:b/>
                <w:bCs/>
                <w:sz w:val="18"/>
                <w:szCs w:val="18"/>
                <w:lang w:val="en-US"/>
              </w:rPr>
              <w:t>Equity attributable to owners of the Group</w:t>
            </w:r>
          </w:p>
        </w:tc>
        <w:tc>
          <w:tcPr>
            <w:tcW w:w="1417" w:type="dxa"/>
            <w:tcBorders>
              <w:top w:val="nil"/>
              <w:left w:val="nil"/>
              <w:bottom w:val="double" w:sz="6" w:space="0" w:color="auto"/>
              <w:right w:val="nil"/>
            </w:tcBorders>
            <w:shd w:val="clear" w:color="000000" w:fill="FFFFFF"/>
            <w:noWrap/>
            <w:vAlign w:val="bottom"/>
            <w:hideMark/>
          </w:tcPr>
          <w:p w14:paraId="7721AB7C" w14:textId="0829FDD8" w:rsidR="001373B6" w:rsidRPr="00846EEE" w:rsidRDefault="00E37CE5" w:rsidP="00997EF7">
            <w:pPr>
              <w:spacing w:after="0" w:line="240" w:lineRule="auto"/>
              <w:ind w:right="-108"/>
              <w:jc w:val="right"/>
              <w:rPr>
                <w:rFonts w:asciiTheme="minorHAnsi" w:hAnsiTheme="minorHAnsi" w:cstheme="minorHAnsi"/>
                <w:color w:val="000000"/>
                <w:sz w:val="18"/>
                <w:szCs w:val="18"/>
              </w:rPr>
            </w:pPr>
            <w:r>
              <w:rPr>
                <w:rFonts w:asciiTheme="minorHAnsi" w:hAnsiTheme="minorHAnsi" w:cstheme="minorHAnsi"/>
                <w:color w:val="000000"/>
                <w:sz w:val="18"/>
                <w:szCs w:val="18"/>
              </w:rPr>
              <w:t>43,229</w:t>
            </w:r>
            <w:r w:rsidR="001373B6" w:rsidRPr="00846EEE">
              <w:rPr>
                <w:rFonts w:asciiTheme="minorHAnsi" w:hAnsiTheme="minorHAnsi" w:cstheme="minorHAnsi"/>
                <w:color w:val="000000"/>
                <w:sz w:val="18"/>
                <w:szCs w:val="18"/>
              </w:rPr>
              <w:t> </w:t>
            </w:r>
          </w:p>
        </w:tc>
        <w:tc>
          <w:tcPr>
            <w:tcW w:w="1417" w:type="dxa"/>
            <w:tcBorders>
              <w:top w:val="nil"/>
              <w:left w:val="nil"/>
              <w:bottom w:val="double" w:sz="6" w:space="0" w:color="auto"/>
              <w:right w:val="nil"/>
            </w:tcBorders>
            <w:shd w:val="clear" w:color="000000" w:fill="FFFFFF"/>
            <w:noWrap/>
            <w:vAlign w:val="bottom"/>
            <w:hideMark/>
          </w:tcPr>
          <w:p w14:paraId="61BC9F31" w14:textId="5EA29E68" w:rsidR="001373B6" w:rsidRPr="00846EEE" w:rsidRDefault="001373B6" w:rsidP="00997EF7">
            <w:pPr>
              <w:spacing w:after="0" w:line="240" w:lineRule="auto"/>
              <w:ind w:right="-57"/>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38,2</w:t>
            </w:r>
            <w:r w:rsidR="00F66A31">
              <w:rPr>
                <w:rFonts w:asciiTheme="minorHAnsi" w:hAnsiTheme="minorHAnsi" w:cstheme="minorHAnsi"/>
                <w:color w:val="000000"/>
                <w:sz w:val="18"/>
                <w:szCs w:val="18"/>
              </w:rPr>
              <w:t>0</w:t>
            </w:r>
            <w:r w:rsidRPr="00846EEE">
              <w:rPr>
                <w:rFonts w:asciiTheme="minorHAnsi" w:hAnsiTheme="minorHAnsi" w:cstheme="minorHAnsi"/>
                <w:color w:val="000000"/>
                <w:sz w:val="18"/>
                <w:szCs w:val="18"/>
              </w:rPr>
              <w:t xml:space="preserve">4 </w:t>
            </w:r>
          </w:p>
        </w:tc>
        <w:tc>
          <w:tcPr>
            <w:tcW w:w="1418" w:type="dxa"/>
            <w:tcBorders>
              <w:top w:val="nil"/>
              <w:left w:val="nil"/>
              <w:bottom w:val="double" w:sz="6" w:space="0" w:color="auto"/>
              <w:right w:val="nil"/>
            </w:tcBorders>
            <w:shd w:val="clear" w:color="000000" w:fill="FFFFFF"/>
            <w:noWrap/>
            <w:vAlign w:val="bottom"/>
            <w:hideMark/>
          </w:tcPr>
          <w:p w14:paraId="1C34116A" w14:textId="77777777" w:rsidR="001373B6" w:rsidRPr="00846EEE" w:rsidRDefault="001373B6" w:rsidP="00997EF7">
            <w:pPr>
              <w:spacing w:after="0" w:line="240" w:lineRule="auto"/>
              <w:ind w:right="-57"/>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43,493 </w:t>
            </w:r>
          </w:p>
        </w:tc>
      </w:tr>
    </w:tbl>
    <w:p w14:paraId="5A8240DC" w14:textId="2C8E64C2" w:rsidR="00093922" w:rsidRPr="00846EEE" w:rsidRDefault="00093922" w:rsidP="00846EEE">
      <w:pPr>
        <w:pStyle w:val="Headings"/>
        <w:spacing w:before="0" w:after="0"/>
        <w:ind w:left="0"/>
        <w:rPr>
          <w:rFonts w:asciiTheme="minorHAnsi" w:hAnsiTheme="minorHAnsi" w:cstheme="minorHAnsi"/>
          <w:sz w:val="18"/>
          <w:szCs w:val="18"/>
          <w:lang w:val="en-US"/>
        </w:rPr>
        <w:sectPr w:rsidR="00093922" w:rsidRPr="00846EEE" w:rsidSect="005C1CFC">
          <w:footerReference w:type="default" r:id="rId14"/>
          <w:footerReference w:type="first" r:id="rId15"/>
          <w:pgSz w:w="11900" w:h="16840"/>
          <w:pgMar w:top="1440" w:right="1440" w:bottom="1440" w:left="1440" w:header="709" w:footer="567" w:gutter="0"/>
          <w:cols w:space="708"/>
          <w:titlePg/>
          <w:docGrid w:linePitch="437"/>
        </w:sectPr>
      </w:pPr>
    </w:p>
    <w:p w14:paraId="51FF0C37" w14:textId="77777777" w:rsidR="00CC7A30" w:rsidRPr="00551D5A" w:rsidRDefault="00CC7A30" w:rsidP="00CC7A30">
      <w:pPr>
        <w:pStyle w:val="Headings"/>
        <w:spacing w:before="0" w:after="0"/>
        <w:ind w:left="0"/>
        <w:jc w:val="both"/>
        <w:rPr>
          <w:rFonts w:asciiTheme="minorHAnsi" w:hAnsiTheme="minorHAnsi" w:cstheme="minorHAnsi"/>
          <w:color w:val="auto"/>
          <w:sz w:val="18"/>
          <w:szCs w:val="18"/>
          <w:lang w:val="en-US"/>
        </w:rPr>
      </w:pPr>
      <w:r w:rsidRPr="00551D5A">
        <w:rPr>
          <w:rFonts w:asciiTheme="minorHAnsi" w:hAnsiTheme="minorHAnsi" w:cstheme="minorHAnsi"/>
          <w:color w:val="auto"/>
          <w:sz w:val="18"/>
          <w:szCs w:val="18"/>
          <w:lang w:val="en-US"/>
        </w:rPr>
        <w:lastRenderedPageBreak/>
        <w:t>Consolidated Statement of Changes in Equity</w:t>
      </w:r>
    </w:p>
    <w:p w14:paraId="40848115" w14:textId="6AABCD6A" w:rsidR="00CC7A30" w:rsidRPr="00551D5A" w:rsidRDefault="00CC7A30" w:rsidP="00CC7A30">
      <w:pPr>
        <w:pStyle w:val="Headings"/>
        <w:spacing w:before="0" w:after="0"/>
        <w:ind w:left="0"/>
        <w:jc w:val="both"/>
        <w:rPr>
          <w:rFonts w:asciiTheme="minorHAnsi" w:hAnsiTheme="minorHAnsi" w:cstheme="minorHAnsi"/>
          <w:color w:val="auto"/>
          <w:sz w:val="18"/>
          <w:szCs w:val="18"/>
          <w:lang w:val="en-US"/>
        </w:rPr>
      </w:pPr>
      <w:r w:rsidRPr="00551D5A">
        <w:rPr>
          <w:rFonts w:asciiTheme="minorHAnsi" w:hAnsiTheme="minorHAnsi" w:cstheme="minorHAnsi"/>
          <w:color w:val="auto"/>
          <w:sz w:val="18"/>
          <w:szCs w:val="18"/>
          <w:lang w:val="en-US"/>
        </w:rPr>
        <w:t xml:space="preserve">For the </w:t>
      </w:r>
      <w:r w:rsidR="00B533BE" w:rsidRPr="00551D5A">
        <w:rPr>
          <w:rFonts w:asciiTheme="minorHAnsi" w:hAnsiTheme="minorHAnsi" w:cstheme="minorHAnsi"/>
          <w:color w:val="auto"/>
          <w:sz w:val="18"/>
          <w:szCs w:val="18"/>
          <w:lang w:val="en-US"/>
        </w:rPr>
        <w:t>period ended 31 January</w:t>
      </w:r>
    </w:p>
    <w:p w14:paraId="5DD5F611" w14:textId="5CF9C825" w:rsidR="00CC7A30" w:rsidRPr="00846EEE" w:rsidRDefault="00CC7A30" w:rsidP="00CC7A30">
      <w:pPr>
        <w:spacing w:after="0"/>
        <w:jc w:val="both"/>
        <w:rPr>
          <w:rFonts w:asciiTheme="minorHAnsi" w:hAnsiTheme="minorHAnsi" w:cstheme="minorHAnsi"/>
          <w:sz w:val="18"/>
          <w:szCs w:val="18"/>
        </w:rPr>
      </w:pPr>
    </w:p>
    <w:tbl>
      <w:tblPr>
        <w:tblW w:w="9281" w:type="dxa"/>
        <w:tblLayout w:type="fixed"/>
        <w:tblLook w:val="04A0" w:firstRow="1" w:lastRow="0" w:firstColumn="1" w:lastColumn="0" w:noHBand="0" w:noVBand="1"/>
      </w:tblPr>
      <w:tblGrid>
        <w:gridCol w:w="2694"/>
        <w:gridCol w:w="941"/>
        <w:gridCol w:w="941"/>
        <w:gridCol w:w="941"/>
        <w:gridCol w:w="941"/>
        <w:gridCol w:w="941"/>
        <w:gridCol w:w="941"/>
        <w:gridCol w:w="941"/>
      </w:tblGrid>
      <w:tr w:rsidR="007D3559" w:rsidRPr="00551D5A" w14:paraId="312567BB" w14:textId="77777777" w:rsidTr="00997EF7">
        <w:trPr>
          <w:trHeight w:val="312"/>
        </w:trPr>
        <w:tc>
          <w:tcPr>
            <w:tcW w:w="2694" w:type="dxa"/>
            <w:tcBorders>
              <w:top w:val="nil"/>
              <w:left w:val="nil"/>
              <w:bottom w:val="nil"/>
              <w:right w:val="nil"/>
            </w:tcBorders>
            <w:shd w:val="clear" w:color="000000" w:fill="FFFFFF"/>
            <w:vAlign w:val="bottom"/>
            <w:hideMark/>
          </w:tcPr>
          <w:p w14:paraId="0F2430B7" w14:textId="77777777" w:rsidR="00B533BE" w:rsidRPr="00846EEE" w:rsidRDefault="00B533BE" w:rsidP="00B533BE">
            <w:pPr>
              <w:spacing w:after="0" w:line="240" w:lineRule="auto"/>
              <w:rPr>
                <w:rFonts w:asciiTheme="minorHAnsi" w:hAnsiTheme="minorHAnsi" w:cstheme="minorHAnsi"/>
                <w:b/>
                <w:bCs/>
                <w:color w:val="000000"/>
                <w:sz w:val="18"/>
                <w:szCs w:val="18"/>
              </w:rPr>
            </w:pPr>
            <w:r w:rsidRPr="00846EEE">
              <w:rPr>
                <w:rFonts w:asciiTheme="minorHAnsi" w:hAnsiTheme="minorHAnsi" w:cstheme="minorHAnsi"/>
                <w:b/>
                <w:bCs/>
                <w:color w:val="000000"/>
                <w:sz w:val="18"/>
                <w:szCs w:val="18"/>
              </w:rPr>
              <w:t> </w:t>
            </w:r>
          </w:p>
        </w:tc>
        <w:tc>
          <w:tcPr>
            <w:tcW w:w="941" w:type="dxa"/>
            <w:tcBorders>
              <w:top w:val="nil"/>
              <w:left w:val="nil"/>
              <w:bottom w:val="nil"/>
              <w:right w:val="nil"/>
            </w:tcBorders>
            <w:shd w:val="clear" w:color="000000" w:fill="FFFFFF"/>
            <w:vAlign w:val="bottom"/>
            <w:hideMark/>
          </w:tcPr>
          <w:p w14:paraId="7A6DA1A3" w14:textId="77777777" w:rsidR="00B533BE" w:rsidRPr="00997EF7" w:rsidRDefault="00B533BE" w:rsidP="00B533BE">
            <w:pPr>
              <w:spacing w:after="0" w:line="240" w:lineRule="auto"/>
              <w:jc w:val="right"/>
              <w:rPr>
                <w:rFonts w:asciiTheme="minorHAnsi" w:hAnsiTheme="minorHAnsi" w:cstheme="minorHAnsi"/>
                <w:b/>
                <w:bCs/>
                <w:color w:val="000000"/>
                <w:sz w:val="16"/>
                <w:szCs w:val="16"/>
              </w:rPr>
            </w:pPr>
            <w:r w:rsidRPr="00997EF7">
              <w:rPr>
                <w:rFonts w:asciiTheme="minorHAnsi" w:hAnsiTheme="minorHAnsi" w:cstheme="minorHAnsi"/>
                <w:b/>
                <w:bCs/>
                <w:color w:val="000000"/>
                <w:sz w:val="16"/>
                <w:szCs w:val="16"/>
              </w:rPr>
              <w:t>Share capital</w:t>
            </w:r>
          </w:p>
        </w:tc>
        <w:tc>
          <w:tcPr>
            <w:tcW w:w="941" w:type="dxa"/>
            <w:tcBorders>
              <w:top w:val="nil"/>
              <w:left w:val="nil"/>
              <w:bottom w:val="nil"/>
              <w:right w:val="nil"/>
            </w:tcBorders>
            <w:shd w:val="clear" w:color="000000" w:fill="FFFFFF"/>
            <w:vAlign w:val="bottom"/>
            <w:hideMark/>
          </w:tcPr>
          <w:p w14:paraId="5ADEDD27" w14:textId="77777777" w:rsidR="00B533BE" w:rsidRPr="00997EF7" w:rsidRDefault="00B533BE" w:rsidP="00B533BE">
            <w:pPr>
              <w:spacing w:after="0" w:line="240" w:lineRule="auto"/>
              <w:jc w:val="right"/>
              <w:rPr>
                <w:rFonts w:asciiTheme="minorHAnsi" w:hAnsiTheme="minorHAnsi" w:cstheme="minorHAnsi"/>
                <w:b/>
                <w:bCs/>
                <w:color w:val="000000"/>
                <w:sz w:val="16"/>
                <w:szCs w:val="16"/>
              </w:rPr>
            </w:pPr>
            <w:r w:rsidRPr="00997EF7">
              <w:rPr>
                <w:rFonts w:asciiTheme="minorHAnsi" w:hAnsiTheme="minorHAnsi" w:cstheme="minorHAnsi"/>
                <w:b/>
                <w:bCs/>
                <w:color w:val="000000"/>
                <w:sz w:val="16"/>
                <w:szCs w:val="16"/>
              </w:rPr>
              <w:t>Share premium</w:t>
            </w:r>
          </w:p>
        </w:tc>
        <w:tc>
          <w:tcPr>
            <w:tcW w:w="941" w:type="dxa"/>
            <w:tcBorders>
              <w:top w:val="nil"/>
              <w:left w:val="nil"/>
              <w:bottom w:val="nil"/>
              <w:right w:val="nil"/>
            </w:tcBorders>
            <w:shd w:val="clear" w:color="000000" w:fill="FFFFFF"/>
            <w:vAlign w:val="bottom"/>
            <w:hideMark/>
          </w:tcPr>
          <w:p w14:paraId="32D71396" w14:textId="77777777" w:rsidR="00B533BE" w:rsidRPr="00997EF7" w:rsidRDefault="00B533BE" w:rsidP="00B533BE">
            <w:pPr>
              <w:spacing w:after="0" w:line="240" w:lineRule="auto"/>
              <w:jc w:val="right"/>
              <w:rPr>
                <w:rFonts w:asciiTheme="minorHAnsi" w:hAnsiTheme="minorHAnsi" w:cstheme="minorHAnsi"/>
                <w:b/>
                <w:bCs/>
                <w:color w:val="000000"/>
                <w:sz w:val="16"/>
                <w:szCs w:val="16"/>
              </w:rPr>
            </w:pPr>
            <w:r w:rsidRPr="00997EF7">
              <w:rPr>
                <w:rFonts w:asciiTheme="minorHAnsi" w:hAnsiTheme="minorHAnsi" w:cstheme="minorHAnsi"/>
                <w:b/>
                <w:bCs/>
                <w:color w:val="000000"/>
                <w:sz w:val="16"/>
                <w:szCs w:val="16"/>
              </w:rPr>
              <w:t xml:space="preserve">Employee Benefit Trust reserve </w:t>
            </w:r>
          </w:p>
        </w:tc>
        <w:tc>
          <w:tcPr>
            <w:tcW w:w="941" w:type="dxa"/>
            <w:tcBorders>
              <w:top w:val="nil"/>
              <w:left w:val="nil"/>
              <w:bottom w:val="nil"/>
              <w:right w:val="nil"/>
            </w:tcBorders>
            <w:shd w:val="clear" w:color="000000" w:fill="FFFFFF"/>
            <w:vAlign w:val="bottom"/>
            <w:hideMark/>
          </w:tcPr>
          <w:p w14:paraId="001722FC" w14:textId="77777777" w:rsidR="00B533BE" w:rsidRPr="00997EF7" w:rsidRDefault="00B533BE" w:rsidP="00B533BE">
            <w:pPr>
              <w:spacing w:after="0" w:line="240" w:lineRule="auto"/>
              <w:jc w:val="right"/>
              <w:rPr>
                <w:rFonts w:asciiTheme="minorHAnsi" w:hAnsiTheme="minorHAnsi" w:cstheme="minorHAnsi"/>
                <w:b/>
                <w:bCs/>
                <w:color w:val="000000"/>
                <w:sz w:val="16"/>
                <w:szCs w:val="16"/>
              </w:rPr>
            </w:pPr>
            <w:r w:rsidRPr="00997EF7">
              <w:rPr>
                <w:rFonts w:asciiTheme="minorHAnsi" w:hAnsiTheme="minorHAnsi" w:cstheme="minorHAnsi"/>
                <w:b/>
                <w:bCs/>
                <w:color w:val="000000"/>
                <w:sz w:val="16"/>
                <w:szCs w:val="16"/>
              </w:rPr>
              <w:t>Share-based payment reserve</w:t>
            </w:r>
          </w:p>
        </w:tc>
        <w:tc>
          <w:tcPr>
            <w:tcW w:w="941" w:type="dxa"/>
            <w:tcBorders>
              <w:top w:val="nil"/>
              <w:left w:val="nil"/>
              <w:bottom w:val="nil"/>
              <w:right w:val="nil"/>
            </w:tcBorders>
            <w:shd w:val="clear" w:color="000000" w:fill="FFFFFF"/>
            <w:vAlign w:val="bottom"/>
            <w:hideMark/>
          </w:tcPr>
          <w:p w14:paraId="12A5C796" w14:textId="77777777" w:rsidR="00B533BE" w:rsidRPr="00997EF7" w:rsidRDefault="00B533BE" w:rsidP="00B533BE">
            <w:pPr>
              <w:spacing w:after="0" w:line="240" w:lineRule="auto"/>
              <w:jc w:val="right"/>
              <w:rPr>
                <w:rFonts w:asciiTheme="minorHAnsi" w:hAnsiTheme="minorHAnsi" w:cstheme="minorHAnsi"/>
                <w:b/>
                <w:bCs/>
                <w:color w:val="000000"/>
                <w:sz w:val="16"/>
                <w:szCs w:val="16"/>
              </w:rPr>
            </w:pPr>
            <w:r w:rsidRPr="00997EF7">
              <w:rPr>
                <w:rFonts w:asciiTheme="minorHAnsi" w:hAnsiTheme="minorHAnsi" w:cstheme="minorHAnsi"/>
                <w:b/>
                <w:bCs/>
                <w:color w:val="000000"/>
                <w:sz w:val="16"/>
                <w:szCs w:val="16"/>
              </w:rPr>
              <w:t>Hedging reserve</w:t>
            </w:r>
          </w:p>
        </w:tc>
        <w:tc>
          <w:tcPr>
            <w:tcW w:w="941" w:type="dxa"/>
            <w:tcBorders>
              <w:top w:val="nil"/>
              <w:left w:val="nil"/>
              <w:bottom w:val="nil"/>
              <w:right w:val="nil"/>
            </w:tcBorders>
            <w:shd w:val="clear" w:color="000000" w:fill="FFFFFF"/>
            <w:vAlign w:val="bottom"/>
            <w:hideMark/>
          </w:tcPr>
          <w:p w14:paraId="7CE67525" w14:textId="77777777" w:rsidR="00B533BE" w:rsidRPr="00997EF7" w:rsidRDefault="00B533BE" w:rsidP="00B533BE">
            <w:pPr>
              <w:spacing w:after="0" w:line="240" w:lineRule="auto"/>
              <w:jc w:val="right"/>
              <w:rPr>
                <w:rFonts w:asciiTheme="minorHAnsi" w:hAnsiTheme="minorHAnsi" w:cstheme="minorHAnsi"/>
                <w:b/>
                <w:bCs/>
                <w:color w:val="000000"/>
                <w:sz w:val="16"/>
                <w:szCs w:val="16"/>
              </w:rPr>
            </w:pPr>
            <w:r w:rsidRPr="00997EF7">
              <w:rPr>
                <w:rFonts w:asciiTheme="minorHAnsi" w:hAnsiTheme="minorHAnsi" w:cstheme="minorHAnsi"/>
                <w:b/>
                <w:bCs/>
                <w:color w:val="000000"/>
                <w:sz w:val="16"/>
                <w:szCs w:val="16"/>
              </w:rPr>
              <w:t>Retained earnings</w:t>
            </w:r>
          </w:p>
        </w:tc>
        <w:tc>
          <w:tcPr>
            <w:tcW w:w="941" w:type="dxa"/>
            <w:tcBorders>
              <w:top w:val="nil"/>
              <w:left w:val="nil"/>
              <w:bottom w:val="nil"/>
              <w:right w:val="nil"/>
            </w:tcBorders>
            <w:shd w:val="clear" w:color="000000" w:fill="FFFFFF"/>
            <w:vAlign w:val="bottom"/>
            <w:hideMark/>
          </w:tcPr>
          <w:p w14:paraId="30290805" w14:textId="77777777" w:rsidR="00B533BE" w:rsidRPr="00997EF7" w:rsidRDefault="00B533BE" w:rsidP="00B533BE">
            <w:pPr>
              <w:spacing w:after="0" w:line="240" w:lineRule="auto"/>
              <w:jc w:val="right"/>
              <w:rPr>
                <w:rFonts w:asciiTheme="minorHAnsi" w:hAnsiTheme="minorHAnsi" w:cstheme="minorHAnsi"/>
                <w:b/>
                <w:bCs/>
                <w:color w:val="000000"/>
                <w:sz w:val="16"/>
                <w:szCs w:val="16"/>
              </w:rPr>
            </w:pPr>
            <w:r w:rsidRPr="00997EF7">
              <w:rPr>
                <w:rFonts w:asciiTheme="minorHAnsi" w:hAnsiTheme="minorHAnsi" w:cstheme="minorHAnsi"/>
                <w:b/>
                <w:bCs/>
                <w:color w:val="000000"/>
                <w:sz w:val="16"/>
                <w:szCs w:val="16"/>
              </w:rPr>
              <w:t>Total equity</w:t>
            </w:r>
          </w:p>
        </w:tc>
      </w:tr>
      <w:tr w:rsidR="006E49CB" w:rsidRPr="00551D5A" w14:paraId="0632437F" w14:textId="77777777" w:rsidTr="00997EF7">
        <w:trPr>
          <w:trHeight w:val="104"/>
        </w:trPr>
        <w:tc>
          <w:tcPr>
            <w:tcW w:w="2694" w:type="dxa"/>
            <w:tcBorders>
              <w:top w:val="nil"/>
              <w:left w:val="nil"/>
              <w:bottom w:val="single" w:sz="4" w:space="0" w:color="auto"/>
              <w:right w:val="nil"/>
            </w:tcBorders>
            <w:shd w:val="clear" w:color="000000" w:fill="FFFFFF"/>
            <w:vAlign w:val="center"/>
            <w:hideMark/>
          </w:tcPr>
          <w:p w14:paraId="03094874" w14:textId="77777777" w:rsidR="00B533BE" w:rsidRPr="00846EEE" w:rsidRDefault="00B533BE" w:rsidP="00B533BE">
            <w:pPr>
              <w:spacing w:after="0" w:line="240" w:lineRule="auto"/>
              <w:rPr>
                <w:rFonts w:asciiTheme="minorHAnsi" w:hAnsiTheme="minorHAnsi" w:cstheme="minorHAnsi"/>
                <w:b/>
                <w:bCs/>
                <w:color w:val="000000"/>
                <w:sz w:val="18"/>
                <w:szCs w:val="18"/>
              </w:rPr>
            </w:pPr>
            <w:r w:rsidRPr="00846EEE">
              <w:rPr>
                <w:rFonts w:asciiTheme="minorHAnsi" w:hAnsiTheme="minorHAnsi" w:cstheme="minorHAnsi"/>
                <w:b/>
                <w:bCs/>
                <w:color w:val="000000"/>
                <w:sz w:val="18"/>
                <w:szCs w:val="18"/>
              </w:rPr>
              <w:t> </w:t>
            </w:r>
          </w:p>
        </w:tc>
        <w:tc>
          <w:tcPr>
            <w:tcW w:w="941" w:type="dxa"/>
            <w:tcBorders>
              <w:top w:val="nil"/>
              <w:left w:val="nil"/>
              <w:bottom w:val="single" w:sz="4" w:space="0" w:color="auto"/>
              <w:right w:val="nil"/>
            </w:tcBorders>
            <w:shd w:val="clear" w:color="000000" w:fill="FFFFFF"/>
            <w:vAlign w:val="center"/>
            <w:hideMark/>
          </w:tcPr>
          <w:p w14:paraId="162D439D" w14:textId="77777777" w:rsidR="00B533BE" w:rsidRPr="00846EEE" w:rsidRDefault="00B533BE" w:rsidP="00B533BE">
            <w:pPr>
              <w:spacing w:after="0" w:line="240" w:lineRule="auto"/>
              <w:jc w:val="right"/>
              <w:rPr>
                <w:rFonts w:asciiTheme="minorHAnsi" w:hAnsiTheme="minorHAnsi" w:cstheme="minorHAnsi"/>
                <w:b/>
                <w:bCs/>
                <w:color w:val="000000"/>
                <w:sz w:val="18"/>
                <w:szCs w:val="18"/>
              </w:rPr>
            </w:pPr>
            <w:r w:rsidRPr="00846EEE">
              <w:rPr>
                <w:rFonts w:asciiTheme="minorHAnsi" w:hAnsiTheme="minorHAnsi" w:cstheme="minorHAnsi"/>
                <w:b/>
                <w:bCs/>
                <w:color w:val="000000"/>
                <w:sz w:val="18"/>
                <w:szCs w:val="18"/>
              </w:rPr>
              <w:t>£’000</w:t>
            </w:r>
          </w:p>
        </w:tc>
        <w:tc>
          <w:tcPr>
            <w:tcW w:w="941" w:type="dxa"/>
            <w:tcBorders>
              <w:top w:val="nil"/>
              <w:left w:val="nil"/>
              <w:bottom w:val="single" w:sz="4" w:space="0" w:color="auto"/>
              <w:right w:val="nil"/>
            </w:tcBorders>
            <w:shd w:val="clear" w:color="000000" w:fill="FFFFFF"/>
            <w:vAlign w:val="center"/>
            <w:hideMark/>
          </w:tcPr>
          <w:p w14:paraId="61879DBA" w14:textId="77777777" w:rsidR="00B533BE" w:rsidRPr="00846EEE" w:rsidRDefault="00B533BE" w:rsidP="00B533BE">
            <w:pPr>
              <w:spacing w:after="0" w:line="240" w:lineRule="auto"/>
              <w:jc w:val="right"/>
              <w:rPr>
                <w:rFonts w:asciiTheme="minorHAnsi" w:hAnsiTheme="minorHAnsi" w:cstheme="minorHAnsi"/>
                <w:b/>
                <w:bCs/>
                <w:color w:val="000000"/>
                <w:sz w:val="18"/>
                <w:szCs w:val="18"/>
              </w:rPr>
            </w:pPr>
            <w:r w:rsidRPr="00846EEE">
              <w:rPr>
                <w:rFonts w:asciiTheme="minorHAnsi" w:hAnsiTheme="minorHAnsi" w:cstheme="minorHAnsi"/>
                <w:b/>
                <w:bCs/>
                <w:color w:val="000000"/>
                <w:sz w:val="18"/>
                <w:szCs w:val="18"/>
              </w:rPr>
              <w:t>£’000</w:t>
            </w:r>
          </w:p>
        </w:tc>
        <w:tc>
          <w:tcPr>
            <w:tcW w:w="941" w:type="dxa"/>
            <w:tcBorders>
              <w:top w:val="nil"/>
              <w:left w:val="nil"/>
              <w:bottom w:val="single" w:sz="4" w:space="0" w:color="auto"/>
              <w:right w:val="nil"/>
            </w:tcBorders>
            <w:shd w:val="clear" w:color="000000" w:fill="FFFFFF"/>
            <w:vAlign w:val="center"/>
            <w:hideMark/>
          </w:tcPr>
          <w:p w14:paraId="2ABAC230" w14:textId="77777777" w:rsidR="00B533BE" w:rsidRPr="00846EEE" w:rsidRDefault="00B533BE" w:rsidP="00B533BE">
            <w:pPr>
              <w:spacing w:after="0" w:line="240" w:lineRule="auto"/>
              <w:jc w:val="right"/>
              <w:rPr>
                <w:rFonts w:asciiTheme="minorHAnsi" w:hAnsiTheme="minorHAnsi" w:cstheme="minorHAnsi"/>
                <w:b/>
                <w:bCs/>
                <w:color w:val="000000"/>
                <w:sz w:val="18"/>
                <w:szCs w:val="18"/>
              </w:rPr>
            </w:pPr>
            <w:r w:rsidRPr="00846EEE">
              <w:rPr>
                <w:rFonts w:asciiTheme="minorHAnsi" w:hAnsiTheme="minorHAnsi" w:cstheme="minorHAnsi"/>
                <w:b/>
                <w:bCs/>
                <w:color w:val="000000"/>
                <w:sz w:val="18"/>
                <w:szCs w:val="18"/>
              </w:rPr>
              <w:t>£’000</w:t>
            </w:r>
          </w:p>
        </w:tc>
        <w:tc>
          <w:tcPr>
            <w:tcW w:w="941" w:type="dxa"/>
            <w:tcBorders>
              <w:top w:val="nil"/>
              <w:left w:val="nil"/>
              <w:bottom w:val="single" w:sz="4" w:space="0" w:color="auto"/>
              <w:right w:val="nil"/>
            </w:tcBorders>
            <w:shd w:val="clear" w:color="000000" w:fill="FFFFFF"/>
            <w:vAlign w:val="center"/>
            <w:hideMark/>
          </w:tcPr>
          <w:p w14:paraId="59B86834" w14:textId="77777777" w:rsidR="00B533BE" w:rsidRPr="00846EEE" w:rsidRDefault="00B533BE" w:rsidP="00B533BE">
            <w:pPr>
              <w:spacing w:after="0" w:line="240" w:lineRule="auto"/>
              <w:jc w:val="right"/>
              <w:rPr>
                <w:rFonts w:asciiTheme="minorHAnsi" w:hAnsiTheme="minorHAnsi" w:cstheme="minorHAnsi"/>
                <w:b/>
                <w:bCs/>
                <w:color w:val="000000"/>
                <w:sz w:val="18"/>
                <w:szCs w:val="18"/>
              </w:rPr>
            </w:pPr>
            <w:r w:rsidRPr="00846EEE">
              <w:rPr>
                <w:rFonts w:asciiTheme="minorHAnsi" w:hAnsiTheme="minorHAnsi" w:cstheme="minorHAnsi"/>
                <w:b/>
                <w:bCs/>
                <w:color w:val="000000"/>
                <w:sz w:val="18"/>
                <w:szCs w:val="18"/>
              </w:rPr>
              <w:t>£’000</w:t>
            </w:r>
          </w:p>
        </w:tc>
        <w:tc>
          <w:tcPr>
            <w:tcW w:w="941" w:type="dxa"/>
            <w:tcBorders>
              <w:top w:val="nil"/>
              <w:left w:val="nil"/>
              <w:bottom w:val="single" w:sz="4" w:space="0" w:color="auto"/>
              <w:right w:val="nil"/>
            </w:tcBorders>
            <w:shd w:val="clear" w:color="000000" w:fill="FFFFFF"/>
            <w:vAlign w:val="center"/>
            <w:hideMark/>
          </w:tcPr>
          <w:p w14:paraId="128278A5" w14:textId="77777777" w:rsidR="00B533BE" w:rsidRPr="00846EEE" w:rsidRDefault="00B533BE" w:rsidP="00B533BE">
            <w:pPr>
              <w:spacing w:after="0" w:line="240" w:lineRule="auto"/>
              <w:jc w:val="right"/>
              <w:rPr>
                <w:rFonts w:asciiTheme="minorHAnsi" w:hAnsiTheme="minorHAnsi" w:cstheme="minorHAnsi"/>
                <w:b/>
                <w:bCs/>
                <w:color w:val="000000"/>
                <w:sz w:val="18"/>
                <w:szCs w:val="18"/>
              </w:rPr>
            </w:pPr>
            <w:r w:rsidRPr="00846EEE">
              <w:rPr>
                <w:rFonts w:asciiTheme="minorHAnsi" w:hAnsiTheme="minorHAnsi" w:cstheme="minorHAnsi"/>
                <w:b/>
                <w:bCs/>
                <w:color w:val="000000"/>
                <w:sz w:val="18"/>
                <w:szCs w:val="18"/>
              </w:rPr>
              <w:t>£’000</w:t>
            </w:r>
          </w:p>
        </w:tc>
        <w:tc>
          <w:tcPr>
            <w:tcW w:w="941" w:type="dxa"/>
            <w:tcBorders>
              <w:top w:val="nil"/>
              <w:left w:val="nil"/>
              <w:bottom w:val="single" w:sz="4" w:space="0" w:color="auto"/>
              <w:right w:val="nil"/>
            </w:tcBorders>
            <w:shd w:val="clear" w:color="000000" w:fill="FFFFFF"/>
            <w:vAlign w:val="center"/>
            <w:hideMark/>
          </w:tcPr>
          <w:p w14:paraId="325B1F0B" w14:textId="77777777" w:rsidR="00B533BE" w:rsidRPr="00846EEE" w:rsidRDefault="00B533BE" w:rsidP="00B533BE">
            <w:pPr>
              <w:spacing w:after="0" w:line="240" w:lineRule="auto"/>
              <w:jc w:val="right"/>
              <w:rPr>
                <w:rFonts w:asciiTheme="minorHAnsi" w:hAnsiTheme="minorHAnsi" w:cstheme="minorHAnsi"/>
                <w:b/>
                <w:bCs/>
                <w:color w:val="000000"/>
                <w:sz w:val="18"/>
                <w:szCs w:val="18"/>
              </w:rPr>
            </w:pPr>
            <w:r w:rsidRPr="00846EEE">
              <w:rPr>
                <w:rFonts w:asciiTheme="minorHAnsi" w:hAnsiTheme="minorHAnsi" w:cstheme="minorHAnsi"/>
                <w:b/>
                <w:bCs/>
                <w:color w:val="000000"/>
                <w:sz w:val="18"/>
                <w:szCs w:val="18"/>
              </w:rPr>
              <w:t>£’000</w:t>
            </w:r>
          </w:p>
        </w:tc>
        <w:tc>
          <w:tcPr>
            <w:tcW w:w="941" w:type="dxa"/>
            <w:tcBorders>
              <w:top w:val="nil"/>
              <w:left w:val="nil"/>
              <w:bottom w:val="single" w:sz="4" w:space="0" w:color="auto"/>
              <w:right w:val="nil"/>
            </w:tcBorders>
            <w:shd w:val="clear" w:color="000000" w:fill="FFFFFF"/>
            <w:vAlign w:val="center"/>
            <w:hideMark/>
          </w:tcPr>
          <w:p w14:paraId="6CC2BF50" w14:textId="77777777" w:rsidR="00B533BE" w:rsidRPr="00846EEE" w:rsidRDefault="00B533BE" w:rsidP="00B533BE">
            <w:pPr>
              <w:spacing w:after="0" w:line="240" w:lineRule="auto"/>
              <w:jc w:val="right"/>
              <w:rPr>
                <w:rFonts w:asciiTheme="minorHAnsi" w:hAnsiTheme="minorHAnsi" w:cstheme="minorHAnsi"/>
                <w:b/>
                <w:bCs/>
                <w:color w:val="000000"/>
                <w:sz w:val="18"/>
                <w:szCs w:val="18"/>
              </w:rPr>
            </w:pPr>
            <w:r w:rsidRPr="00846EEE">
              <w:rPr>
                <w:rFonts w:asciiTheme="minorHAnsi" w:hAnsiTheme="minorHAnsi" w:cstheme="minorHAnsi"/>
                <w:b/>
                <w:bCs/>
                <w:color w:val="000000"/>
                <w:sz w:val="18"/>
                <w:szCs w:val="18"/>
              </w:rPr>
              <w:t>£’000</w:t>
            </w:r>
          </w:p>
        </w:tc>
      </w:tr>
      <w:tr w:rsidR="006E49CB" w:rsidRPr="00551D5A" w14:paraId="6675E51E" w14:textId="77777777" w:rsidTr="00997EF7">
        <w:trPr>
          <w:trHeight w:val="283"/>
        </w:trPr>
        <w:tc>
          <w:tcPr>
            <w:tcW w:w="2694" w:type="dxa"/>
            <w:tcBorders>
              <w:top w:val="nil"/>
              <w:left w:val="nil"/>
              <w:bottom w:val="nil"/>
              <w:right w:val="nil"/>
            </w:tcBorders>
            <w:shd w:val="clear" w:color="000000" w:fill="FFFFFF"/>
            <w:vAlign w:val="bottom"/>
            <w:hideMark/>
          </w:tcPr>
          <w:p w14:paraId="5154141C" w14:textId="77777777" w:rsidR="00B533BE" w:rsidRPr="00846EEE" w:rsidRDefault="00B533BE" w:rsidP="00997EF7">
            <w:pPr>
              <w:spacing w:after="0" w:line="240" w:lineRule="auto"/>
              <w:ind w:hanging="105"/>
              <w:rPr>
                <w:rFonts w:asciiTheme="minorHAnsi" w:hAnsiTheme="minorHAnsi" w:cstheme="minorHAnsi"/>
                <w:b/>
                <w:bCs/>
                <w:color w:val="000000"/>
                <w:sz w:val="18"/>
                <w:szCs w:val="18"/>
              </w:rPr>
            </w:pPr>
            <w:r w:rsidRPr="00846EEE">
              <w:rPr>
                <w:rFonts w:asciiTheme="minorHAnsi" w:hAnsiTheme="minorHAnsi" w:cstheme="minorHAnsi"/>
                <w:b/>
                <w:bCs/>
                <w:color w:val="000000"/>
                <w:sz w:val="18"/>
                <w:szCs w:val="18"/>
              </w:rPr>
              <w:t xml:space="preserve">As </w:t>
            </w:r>
            <w:proofErr w:type="gramStart"/>
            <w:r w:rsidRPr="00846EEE">
              <w:rPr>
                <w:rFonts w:asciiTheme="minorHAnsi" w:hAnsiTheme="minorHAnsi" w:cstheme="minorHAnsi"/>
                <w:b/>
                <w:bCs/>
                <w:color w:val="000000"/>
                <w:sz w:val="18"/>
                <w:szCs w:val="18"/>
              </w:rPr>
              <w:t>at</w:t>
            </w:r>
            <w:proofErr w:type="gramEnd"/>
            <w:r w:rsidRPr="00846EEE">
              <w:rPr>
                <w:rFonts w:asciiTheme="minorHAnsi" w:hAnsiTheme="minorHAnsi" w:cstheme="minorHAnsi"/>
                <w:b/>
                <w:bCs/>
                <w:color w:val="000000"/>
                <w:sz w:val="18"/>
                <w:szCs w:val="18"/>
              </w:rPr>
              <w:t xml:space="preserve"> 1 August 2021</w:t>
            </w:r>
          </w:p>
        </w:tc>
        <w:tc>
          <w:tcPr>
            <w:tcW w:w="941" w:type="dxa"/>
            <w:tcBorders>
              <w:top w:val="nil"/>
              <w:left w:val="nil"/>
              <w:bottom w:val="nil"/>
              <w:right w:val="nil"/>
            </w:tcBorders>
            <w:shd w:val="clear" w:color="000000" w:fill="FFFFFF"/>
            <w:noWrap/>
            <w:vAlign w:val="bottom"/>
            <w:hideMark/>
          </w:tcPr>
          <w:p w14:paraId="2194601F" w14:textId="05081278" w:rsidR="00B533BE" w:rsidRPr="00846EEE" w:rsidRDefault="00B533BE" w:rsidP="006E49CB">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2</w:t>
            </w:r>
            <w:r w:rsidR="00C8221A">
              <w:rPr>
                <w:rFonts w:asciiTheme="minorHAnsi" w:hAnsiTheme="minorHAnsi" w:cstheme="minorHAnsi"/>
                <w:color w:val="000000"/>
                <w:sz w:val="18"/>
                <w:szCs w:val="18"/>
              </w:rPr>
              <w:t>2</w:t>
            </w:r>
            <w:r w:rsidRPr="00846EEE">
              <w:rPr>
                <w:rFonts w:asciiTheme="minorHAnsi" w:hAnsiTheme="minorHAnsi" w:cstheme="minorHAnsi"/>
                <w:color w:val="000000"/>
                <w:sz w:val="18"/>
                <w:szCs w:val="18"/>
              </w:rPr>
              <w:t xml:space="preserve">3 </w:t>
            </w:r>
          </w:p>
        </w:tc>
        <w:tc>
          <w:tcPr>
            <w:tcW w:w="941" w:type="dxa"/>
            <w:tcBorders>
              <w:top w:val="nil"/>
              <w:left w:val="nil"/>
              <w:bottom w:val="nil"/>
              <w:right w:val="nil"/>
            </w:tcBorders>
            <w:shd w:val="clear" w:color="000000" w:fill="FFFFFF"/>
            <w:noWrap/>
            <w:vAlign w:val="bottom"/>
            <w:hideMark/>
          </w:tcPr>
          <w:p w14:paraId="543858F5" w14:textId="77777777" w:rsidR="00B533BE" w:rsidRPr="00846EEE" w:rsidRDefault="00B533BE" w:rsidP="006E49CB">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14,334 </w:t>
            </w:r>
          </w:p>
        </w:tc>
        <w:tc>
          <w:tcPr>
            <w:tcW w:w="941" w:type="dxa"/>
            <w:tcBorders>
              <w:top w:val="nil"/>
              <w:left w:val="nil"/>
              <w:bottom w:val="nil"/>
              <w:right w:val="nil"/>
            </w:tcBorders>
            <w:shd w:val="clear" w:color="000000" w:fill="FFFFFF"/>
            <w:noWrap/>
            <w:vAlign w:val="bottom"/>
            <w:hideMark/>
          </w:tcPr>
          <w:p w14:paraId="10B984BA" w14:textId="77777777" w:rsidR="00B533BE" w:rsidRPr="00846EEE" w:rsidRDefault="00B533BE" w:rsidP="006E49CB">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(2,152)</w:t>
            </w:r>
          </w:p>
        </w:tc>
        <w:tc>
          <w:tcPr>
            <w:tcW w:w="941" w:type="dxa"/>
            <w:tcBorders>
              <w:top w:val="nil"/>
              <w:left w:val="nil"/>
              <w:bottom w:val="nil"/>
              <w:right w:val="nil"/>
            </w:tcBorders>
            <w:shd w:val="clear" w:color="000000" w:fill="FFFFFF"/>
            <w:noWrap/>
            <w:vAlign w:val="bottom"/>
            <w:hideMark/>
          </w:tcPr>
          <w:p w14:paraId="38257F41" w14:textId="77777777" w:rsidR="00B533BE" w:rsidRPr="00846EEE" w:rsidRDefault="00B533BE" w:rsidP="006E49CB">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1,024 </w:t>
            </w:r>
          </w:p>
        </w:tc>
        <w:tc>
          <w:tcPr>
            <w:tcW w:w="941" w:type="dxa"/>
            <w:tcBorders>
              <w:top w:val="nil"/>
              <w:left w:val="nil"/>
              <w:bottom w:val="nil"/>
              <w:right w:val="nil"/>
            </w:tcBorders>
            <w:shd w:val="clear" w:color="000000" w:fill="FFFFFF"/>
            <w:noWrap/>
            <w:vAlign w:val="bottom"/>
            <w:hideMark/>
          </w:tcPr>
          <w:p w14:paraId="118FB67C" w14:textId="77777777" w:rsidR="00B533BE" w:rsidRPr="00846EEE" w:rsidRDefault="00B533BE" w:rsidP="006E49CB">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(162)</w:t>
            </w:r>
          </w:p>
        </w:tc>
        <w:tc>
          <w:tcPr>
            <w:tcW w:w="941" w:type="dxa"/>
            <w:tcBorders>
              <w:top w:val="nil"/>
              <w:left w:val="nil"/>
              <w:bottom w:val="nil"/>
              <w:right w:val="nil"/>
            </w:tcBorders>
            <w:shd w:val="clear" w:color="000000" w:fill="FFFFFF"/>
            <w:noWrap/>
            <w:vAlign w:val="bottom"/>
            <w:hideMark/>
          </w:tcPr>
          <w:p w14:paraId="51586CAA" w14:textId="77777777" w:rsidR="00B533BE" w:rsidRPr="00846EEE" w:rsidRDefault="00B533BE" w:rsidP="006E49CB">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iCs/>
                <w:color w:val="000000"/>
                <w:sz w:val="18"/>
                <w:szCs w:val="18"/>
              </w:rPr>
              <w:t xml:space="preserve">          18,788 </w:t>
            </w:r>
          </w:p>
        </w:tc>
        <w:tc>
          <w:tcPr>
            <w:tcW w:w="941" w:type="dxa"/>
            <w:tcBorders>
              <w:top w:val="nil"/>
              <w:left w:val="nil"/>
              <w:bottom w:val="nil"/>
              <w:right w:val="nil"/>
            </w:tcBorders>
            <w:shd w:val="clear" w:color="000000" w:fill="FFFFFF"/>
            <w:noWrap/>
            <w:vAlign w:val="bottom"/>
            <w:hideMark/>
          </w:tcPr>
          <w:p w14:paraId="484DA9BF" w14:textId="77777777" w:rsidR="00B533BE" w:rsidRPr="00846EEE" w:rsidRDefault="00B533BE" w:rsidP="006E49CB">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iCs/>
                <w:color w:val="000000"/>
                <w:sz w:val="18"/>
                <w:szCs w:val="18"/>
              </w:rPr>
              <w:t xml:space="preserve">          32,055 </w:t>
            </w:r>
          </w:p>
        </w:tc>
      </w:tr>
      <w:tr w:rsidR="007D3559" w:rsidRPr="00551D5A" w14:paraId="3D3A9A1A" w14:textId="77777777" w:rsidTr="00997EF7">
        <w:trPr>
          <w:trHeight w:val="271"/>
        </w:trPr>
        <w:tc>
          <w:tcPr>
            <w:tcW w:w="2694" w:type="dxa"/>
            <w:tcBorders>
              <w:top w:val="nil"/>
              <w:left w:val="nil"/>
              <w:bottom w:val="nil"/>
              <w:right w:val="nil"/>
            </w:tcBorders>
            <w:shd w:val="clear" w:color="000000" w:fill="FFFFFF"/>
            <w:vAlign w:val="bottom"/>
            <w:hideMark/>
          </w:tcPr>
          <w:p w14:paraId="53E39CD8" w14:textId="77777777" w:rsidR="00B533BE" w:rsidRPr="00846EEE" w:rsidRDefault="00B533BE" w:rsidP="00997EF7">
            <w:pPr>
              <w:spacing w:after="0" w:line="240" w:lineRule="auto"/>
              <w:ind w:hanging="105"/>
              <w:jc w:val="both"/>
              <w:rPr>
                <w:rFonts w:asciiTheme="minorHAnsi" w:hAnsiTheme="minorHAnsi" w:cstheme="minorHAnsi"/>
                <w:sz w:val="18"/>
                <w:szCs w:val="18"/>
              </w:rPr>
            </w:pPr>
            <w:r w:rsidRPr="00846EEE">
              <w:rPr>
                <w:rFonts w:asciiTheme="minorHAnsi" w:hAnsiTheme="minorHAnsi" w:cstheme="minorHAnsi"/>
                <w:sz w:val="18"/>
                <w:szCs w:val="18"/>
                <w:lang w:val="en-US"/>
              </w:rPr>
              <w:t>Profit for the year</w:t>
            </w:r>
          </w:p>
        </w:tc>
        <w:tc>
          <w:tcPr>
            <w:tcW w:w="941" w:type="dxa"/>
            <w:tcBorders>
              <w:top w:val="nil"/>
              <w:left w:val="nil"/>
              <w:bottom w:val="nil"/>
              <w:right w:val="nil"/>
            </w:tcBorders>
            <w:shd w:val="clear" w:color="000000" w:fill="FFFFFF"/>
            <w:noWrap/>
            <w:vAlign w:val="bottom"/>
            <w:hideMark/>
          </w:tcPr>
          <w:p w14:paraId="5E04E85A" w14:textId="77777777" w:rsidR="00B533BE" w:rsidRPr="00846EEE" w:rsidRDefault="00B533BE" w:rsidP="006E49CB">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 </w:t>
            </w:r>
          </w:p>
        </w:tc>
        <w:tc>
          <w:tcPr>
            <w:tcW w:w="941" w:type="dxa"/>
            <w:tcBorders>
              <w:top w:val="nil"/>
              <w:left w:val="nil"/>
              <w:bottom w:val="nil"/>
              <w:right w:val="nil"/>
            </w:tcBorders>
            <w:shd w:val="clear" w:color="000000" w:fill="FFFFFF"/>
            <w:noWrap/>
            <w:vAlign w:val="bottom"/>
            <w:hideMark/>
          </w:tcPr>
          <w:p w14:paraId="7D52B562" w14:textId="77777777" w:rsidR="00B533BE" w:rsidRPr="00846EEE" w:rsidRDefault="00B533BE" w:rsidP="006E49CB">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 </w:t>
            </w:r>
          </w:p>
        </w:tc>
        <w:tc>
          <w:tcPr>
            <w:tcW w:w="941" w:type="dxa"/>
            <w:tcBorders>
              <w:top w:val="nil"/>
              <w:left w:val="nil"/>
              <w:bottom w:val="nil"/>
              <w:right w:val="nil"/>
            </w:tcBorders>
            <w:shd w:val="clear" w:color="000000" w:fill="FFFFFF"/>
            <w:noWrap/>
            <w:vAlign w:val="bottom"/>
            <w:hideMark/>
          </w:tcPr>
          <w:p w14:paraId="690577FF" w14:textId="77777777" w:rsidR="00B533BE" w:rsidRPr="00846EEE" w:rsidRDefault="00B533BE" w:rsidP="006E49CB">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 </w:t>
            </w:r>
          </w:p>
        </w:tc>
        <w:tc>
          <w:tcPr>
            <w:tcW w:w="941" w:type="dxa"/>
            <w:tcBorders>
              <w:top w:val="nil"/>
              <w:left w:val="nil"/>
              <w:bottom w:val="nil"/>
              <w:right w:val="nil"/>
            </w:tcBorders>
            <w:shd w:val="clear" w:color="000000" w:fill="FFFFFF"/>
            <w:noWrap/>
            <w:vAlign w:val="bottom"/>
            <w:hideMark/>
          </w:tcPr>
          <w:p w14:paraId="11D9542C" w14:textId="77777777" w:rsidR="00B533BE" w:rsidRPr="00846EEE" w:rsidRDefault="00B533BE" w:rsidP="006E49CB">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 </w:t>
            </w:r>
          </w:p>
        </w:tc>
        <w:tc>
          <w:tcPr>
            <w:tcW w:w="941" w:type="dxa"/>
            <w:tcBorders>
              <w:top w:val="nil"/>
              <w:left w:val="nil"/>
              <w:bottom w:val="nil"/>
              <w:right w:val="nil"/>
            </w:tcBorders>
            <w:shd w:val="clear" w:color="000000" w:fill="FFFFFF"/>
            <w:noWrap/>
            <w:vAlign w:val="bottom"/>
            <w:hideMark/>
          </w:tcPr>
          <w:p w14:paraId="597EC9FD" w14:textId="77777777" w:rsidR="00B533BE" w:rsidRPr="00846EEE" w:rsidRDefault="00B533BE" w:rsidP="006E49CB">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 </w:t>
            </w:r>
          </w:p>
        </w:tc>
        <w:tc>
          <w:tcPr>
            <w:tcW w:w="941" w:type="dxa"/>
            <w:tcBorders>
              <w:top w:val="nil"/>
              <w:left w:val="nil"/>
              <w:bottom w:val="nil"/>
              <w:right w:val="nil"/>
            </w:tcBorders>
            <w:shd w:val="clear" w:color="000000" w:fill="FFFFFF"/>
            <w:noWrap/>
            <w:vAlign w:val="bottom"/>
            <w:hideMark/>
          </w:tcPr>
          <w:p w14:paraId="7017DCFA" w14:textId="5BF4539E" w:rsidR="00B533BE" w:rsidRPr="00846EEE" w:rsidRDefault="00B533BE" w:rsidP="006E49CB">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iCs/>
                <w:color w:val="000000"/>
                <w:sz w:val="18"/>
                <w:szCs w:val="18"/>
              </w:rPr>
              <w:t xml:space="preserve">       7,620 </w:t>
            </w:r>
          </w:p>
        </w:tc>
        <w:tc>
          <w:tcPr>
            <w:tcW w:w="941" w:type="dxa"/>
            <w:tcBorders>
              <w:top w:val="nil"/>
              <w:left w:val="nil"/>
              <w:bottom w:val="nil"/>
              <w:right w:val="nil"/>
            </w:tcBorders>
            <w:shd w:val="clear" w:color="000000" w:fill="FFFFFF"/>
            <w:noWrap/>
            <w:vAlign w:val="bottom"/>
            <w:hideMark/>
          </w:tcPr>
          <w:p w14:paraId="5E855C81" w14:textId="528D7C5D" w:rsidR="00B533BE" w:rsidRPr="00846EEE" w:rsidRDefault="00B533BE" w:rsidP="006E49CB">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iCs/>
                <w:color w:val="000000"/>
                <w:sz w:val="18"/>
                <w:szCs w:val="18"/>
              </w:rPr>
              <w:t xml:space="preserve">      7,620 </w:t>
            </w:r>
          </w:p>
        </w:tc>
      </w:tr>
      <w:tr w:rsidR="007D3559" w:rsidRPr="00551D5A" w14:paraId="01745AC4" w14:textId="77777777" w:rsidTr="00997EF7">
        <w:trPr>
          <w:trHeight w:val="249"/>
        </w:trPr>
        <w:tc>
          <w:tcPr>
            <w:tcW w:w="2694" w:type="dxa"/>
            <w:tcBorders>
              <w:top w:val="nil"/>
              <w:left w:val="nil"/>
              <w:bottom w:val="nil"/>
              <w:right w:val="nil"/>
            </w:tcBorders>
            <w:shd w:val="clear" w:color="000000" w:fill="FFFFFF"/>
            <w:vAlign w:val="bottom"/>
            <w:hideMark/>
          </w:tcPr>
          <w:p w14:paraId="0C36BE1A" w14:textId="77777777" w:rsidR="00B533BE" w:rsidRPr="00846EEE" w:rsidRDefault="00B533BE" w:rsidP="00997EF7">
            <w:pPr>
              <w:spacing w:after="0" w:line="240" w:lineRule="auto"/>
              <w:ind w:hanging="105"/>
              <w:jc w:val="both"/>
              <w:rPr>
                <w:rFonts w:asciiTheme="minorHAnsi" w:hAnsiTheme="minorHAnsi" w:cstheme="minorHAnsi"/>
                <w:sz w:val="18"/>
                <w:szCs w:val="18"/>
              </w:rPr>
            </w:pPr>
            <w:r w:rsidRPr="00846EEE">
              <w:rPr>
                <w:rFonts w:asciiTheme="minorHAnsi" w:hAnsiTheme="minorHAnsi" w:cstheme="minorHAnsi"/>
                <w:sz w:val="18"/>
                <w:szCs w:val="18"/>
                <w:lang w:val="en-US"/>
              </w:rPr>
              <w:t>Foreign currency retranslation</w:t>
            </w:r>
          </w:p>
        </w:tc>
        <w:tc>
          <w:tcPr>
            <w:tcW w:w="941" w:type="dxa"/>
            <w:tcBorders>
              <w:top w:val="nil"/>
              <w:left w:val="nil"/>
              <w:bottom w:val="nil"/>
              <w:right w:val="nil"/>
            </w:tcBorders>
            <w:shd w:val="clear" w:color="000000" w:fill="FFFFFF"/>
            <w:noWrap/>
            <w:vAlign w:val="bottom"/>
            <w:hideMark/>
          </w:tcPr>
          <w:p w14:paraId="2B279914" w14:textId="77777777" w:rsidR="00B533BE" w:rsidRPr="00846EEE" w:rsidRDefault="00B533BE" w:rsidP="006E49CB">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 </w:t>
            </w:r>
          </w:p>
        </w:tc>
        <w:tc>
          <w:tcPr>
            <w:tcW w:w="941" w:type="dxa"/>
            <w:tcBorders>
              <w:top w:val="nil"/>
              <w:left w:val="nil"/>
              <w:bottom w:val="nil"/>
              <w:right w:val="nil"/>
            </w:tcBorders>
            <w:shd w:val="clear" w:color="000000" w:fill="FFFFFF"/>
            <w:noWrap/>
            <w:vAlign w:val="bottom"/>
            <w:hideMark/>
          </w:tcPr>
          <w:p w14:paraId="29285F7F" w14:textId="77777777" w:rsidR="00B533BE" w:rsidRPr="00846EEE" w:rsidRDefault="00B533BE" w:rsidP="006E49CB">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 </w:t>
            </w:r>
          </w:p>
        </w:tc>
        <w:tc>
          <w:tcPr>
            <w:tcW w:w="941" w:type="dxa"/>
            <w:tcBorders>
              <w:top w:val="nil"/>
              <w:left w:val="nil"/>
              <w:bottom w:val="nil"/>
              <w:right w:val="nil"/>
            </w:tcBorders>
            <w:shd w:val="clear" w:color="000000" w:fill="FFFFFF"/>
            <w:noWrap/>
            <w:vAlign w:val="bottom"/>
            <w:hideMark/>
          </w:tcPr>
          <w:p w14:paraId="0CE44CB4" w14:textId="77777777" w:rsidR="00B533BE" w:rsidRPr="00846EEE" w:rsidRDefault="00B533BE" w:rsidP="006E49CB">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 </w:t>
            </w:r>
          </w:p>
        </w:tc>
        <w:tc>
          <w:tcPr>
            <w:tcW w:w="941" w:type="dxa"/>
            <w:tcBorders>
              <w:top w:val="nil"/>
              <w:left w:val="nil"/>
              <w:bottom w:val="nil"/>
              <w:right w:val="nil"/>
            </w:tcBorders>
            <w:shd w:val="clear" w:color="000000" w:fill="FFFFFF"/>
            <w:noWrap/>
            <w:vAlign w:val="bottom"/>
            <w:hideMark/>
          </w:tcPr>
          <w:p w14:paraId="2D5F4665" w14:textId="77777777" w:rsidR="00B533BE" w:rsidRPr="00846EEE" w:rsidRDefault="00B533BE" w:rsidP="006E49CB">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 </w:t>
            </w:r>
          </w:p>
        </w:tc>
        <w:tc>
          <w:tcPr>
            <w:tcW w:w="941" w:type="dxa"/>
            <w:tcBorders>
              <w:top w:val="nil"/>
              <w:left w:val="nil"/>
              <w:bottom w:val="nil"/>
              <w:right w:val="nil"/>
            </w:tcBorders>
            <w:shd w:val="clear" w:color="000000" w:fill="FFFFFF"/>
            <w:noWrap/>
            <w:vAlign w:val="bottom"/>
            <w:hideMark/>
          </w:tcPr>
          <w:p w14:paraId="3B1C6297" w14:textId="77777777" w:rsidR="00B533BE" w:rsidRPr="00846EEE" w:rsidRDefault="00B533BE" w:rsidP="006E49CB">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 </w:t>
            </w:r>
          </w:p>
        </w:tc>
        <w:tc>
          <w:tcPr>
            <w:tcW w:w="941" w:type="dxa"/>
            <w:tcBorders>
              <w:top w:val="nil"/>
              <w:left w:val="nil"/>
              <w:bottom w:val="nil"/>
              <w:right w:val="nil"/>
            </w:tcBorders>
            <w:shd w:val="clear" w:color="000000" w:fill="FFFFFF"/>
            <w:noWrap/>
            <w:vAlign w:val="bottom"/>
            <w:hideMark/>
          </w:tcPr>
          <w:p w14:paraId="4AFF02C9" w14:textId="5137D53D" w:rsidR="00B533BE" w:rsidRPr="00846EEE" w:rsidRDefault="00B533BE" w:rsidP="006E49CB">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2 </w:t>
            </w:r>
          </w:p>
        </w:tc>
        <w:tc>
          <w:tcPr>
            <w:tcW w:w="941" w:type="dxa"/>
            <w:tcBorders>
              <w:top w:val="nil"/>
              <w:left w:val="nil"/>
              <w:bottom w:val="nil"/>
              <w:right w:val="nil"/>
            </w:tcBorders>
            <w:shd w:val="clear" w:color="000000" w:fill="FFFFFF"/>
            <w:noWrap/>
            <w:vAlign w:val="bottom"/>
            <w:hideMark/>
          </w:tcPr>
          <w:p w14:paraId="341AC13F" w14:textId="4D343741" w:rsidR="00B533BE" w:rsidRPr="00846EEE" w:rsidRDefault="00B533BE" w:rsidP="006E49CB">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iCs/>
                <w:color w:val="000000"/>
                <w:sz w:val="18"/>
                <w:szCs w:val="18"/>
              </w:rPr>
              <w:t xml:space="preserve">            2 </w:t>
            </w:r>
          </w:p>
        </w:tc>
      </w:tr>
      <w:tr w:rsidR="006E49CB" w:rsidRPr="00551D5A" w14:paraId="067FB44B" w14:textId="77777777" w:rsidTr="00997EF7">
        <w:trPr>
          <w:trHeight w:val="139"/>
        </w:trPr>
        <w:tc>
          <w:tcPr>
            <w:tcW w:w="2694" w:type="dxa"/>
            <w:tcBorders>
              <w:top w:val="nil"/>
              <w:left w:val="nil"/>
              <w:bottom w:val="nil"/>
              <w:right w:val="nil"/>
            </w:tcBorders>
            <w:shd w:val="clear" w:color="000000" w:fill="FFFFFF"/>
            <w:vAlign w:val="bottom"/>
            <w:hideMark/>
          </w:tcPr>
          <w:p w14:paraId="67CAD29D" w14:textId="77777777" w:rsidR="00B533BE" w:rsidRPr="00846EEE" w:rsidRDefault="00B533BE" w:rsidP="00997EF7">
            <w:pPr>
              <w:spacing w:after="0" w:line="240" w:lineRule="auto"/>
              <w:ind w:hanging="105"/>
              <w:jc w:val="both"/>
              <w:rPr>
                <w:rFonts w:asciiTheme="minorHAnsi" w:hAnsiTheme="minorHAnsi" w:cstheme="minorHAnsi"/>
                <w:sz w:val="18"/>
                <w:szCs w:val="18"/>
              </w:rPr>
            </w:pPr>
            <w:r w:rsidRPr="00846EEE">
              <w:rPr>
                <w:rFonts w:asciiTheme="minorHAnsi" w:hAnsiTheme="minorHAnsi" w:cstheme="minorHAnsi"/>
                <w:sz w:val="18"/>
                <w:szCs w:val="18"/>
                <w:lang w:val="en-US"/>
              </w:rPr>
              <w:t>Cash flow hedging movement</w:t>
            </w:r>
          </w:p>
        </w:tc>
        <w:tc>
          <w:tcPr>
            <w:tcW w:w="941" w:type="dxa"/>
            <w:tcBorders>
              <w:top w:val="nil"/>
              <w:left w:val="nil"/>
              <w:bottom w:val="nil"/>
              <w:right w:val="nil"/>
            </w:tcBorders>
            <w:shd w:val="clear" w:color="000000" w:fill="FFFFFF"/>
            <w:noWrap/>
            <w:vAlign w:val="bottom"/>
            <w:hideMark/>
          </w:tcPr>
          <w:p w14:paraId="6AFEC0D4" w14:textId="77777777" w:rsidR="00B533BE" w:rsidRPr="00846EEE" w:rsidRDefault="00B533BE" w:rsidP="006E49CB">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 </w:t>
            </w:r>
          </w:p>
        </w:tc>
        <w:tc>
          <w:tcPr>
            <w:tcW w:w="941" w:type="dxa"/>
            <w:tcBorders>
              <w:top w:val="nil"/>
              <w:left w:val="nil"/>
              <w:bottom w:val="nil"/>
              <w:right w:val="nil"/>
            </w:tcBorders>
            <w:shd w:val="clear" w:color="000000" w:fill="FFFFFF"/>
            <w:noWrap/>
            <w:vAlign w:val="bottom"/>
            <w:hideMark/>
          </w:tcPr>
          <w:p w14:paraId="4A386A9E" w14:textId="77777777" w:rsidR="00B533BE" w:rsidRPr="00846EEE" w:rsidRDefault="00B533BE" w:rsidP="006E49CB">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 </w:t>
            </w:r>
          </w:p>
        </w:tc>
        <w:tc>
          <w:tcPr>
            <w:tcW w:w="941" w:type="dxa"/>
            <w:tcBorders>
              <w:top w:val="nil"/>
              <w:left w:val="nil"/>
              <w:bottom w:val="nil"/>
              <w:right w:val="nil"/>
            </w:tcBorders>
            <w:shd w:val="clear" w:color="000000" w:fill="FFFFFF"/>
            <w:noWrap/>
            <w:vAlign w:val="bottom"/>
            <w:hideMark/>
          </w:tcPr>
          <w:p w14:paraId="715F14EC" w14:textId="77777777" w:rsidR="00B533BE" w:rsidRPr="00846EEE" w:rsidRDefault="00B533BE" w:rsidP="006E49CB">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 </w:t>
            </w:r>
          </w:p>
        </w:tc>
        <w:tc>
          <w:tcPr>
            <w:tcW w:w="941" w:type="dxa"/>
            <w:tcBorders>
              <w:top w:val="nil"/>
              <w:left w:val="nil"/>
              <w:bottom w:val="nil"/>
              <w:right w:val="nil"/>
            </w:tcBorders>
            <w:shd w:val="clear" w:color="000000" w:fill="FFFFFF"/>
            <w:noWrap/>
            <w:vAlign w:val="bottom"/>
            <w:hideMark/>
          </w:tcPr>
          <w:p w14:paraId="67B2A6A8" w14:textId="77777777" w:rsidR="00B533BE" w:rsidRPr="00846EEE" w:rsidRDefault="00B533BE" w:rsidP="006E49CB">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 </w:t>
            </w:r>
          </w:p>
        </w:tc>
        <w:tc>
          <w:tcPr>
            <w:tcW w:w="941" w:type="dxa"/>
            <w:tcBorders>
              <w:top w:val="nil"/>
              <w:left w:val="nil"/>
              <w:bottom w:val="nil"/>
              <w:right w:val="nil"/>
            </w:tcBorders>
            <w:shd w:val="clear" w:color="000000" w:fill="FFFFFF"/>
            <w:noWrap/>
            <w:vAlign w:val="bottom"/>
            <w:hideMark/>
          </w:tcPr>
          <w:p w14:paraId="4BB05DDC" w14:textId="4738B4C2" w:rsidR="00B533BE" w:rsidRPr="00846EEE" w:rsidRDefault="00B533BE" w:rsidP="006E49CB">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1,129 </w:t>
            </w:r>
          </w:p>
        </w:tc>
        <w:tc>
          <w:tcPr>
            <w:tcW w:w="941" w:type="dxa"/>
            <w:tcBorders>
              <w:top w:val="nil"/>
              <w:left w:val="nil"/>
              <w:bottom w:val="nil"/>
              <w:right w:val="nil"/>
            </w:tcBorders>
            <w:shd w:val="clear" w:color="000000" w:fill="FFFFFF"/>
            <w:noWrap/>
            <w:vAlign w:val="bottom"/>
            <w:hideMark/>
          </w:tcPr>
          <w:p w14:paraId="480DB12A" w14:textId="7044BC66" w:rsidR="00B533BE" w:rsidRPr="00846EEE" w:rsidRDefault="00B533BE" w:rsidP="00997EF7">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w:t>
            </w:r>
          </w:p>
        </w:tc>
        <w:tc>
          <w:tcPr>
            <w:tcW w:w="941" w:type="dxa"/>
            <w:tcBorders>
              <w:top w:val="nil"/>
              <w:left w:val="nil"/>
              <w:bottom w:val="nil"/>
              <w:right w:val="nil"/>
            </w:tcBorders>
            <w:shd w:val="clear" w:color="000000" w:fill="FFFFFF"/>
            <w:noWrap/>
            <w:vAlign w:val="bottom"/>
            <w:hideMark/>
          </w:tcPr>
          <w:p w14:paraId="505275D8" w14:textId="657B4094" w:rsidR="00B533BE" w:rsidRPr="00846EEE" w:rsidRDefault="00B533BE" w:rsidP="006E49CB">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iCs/>
                <w:color w:val="000000"/>
                <w:sz w:val="18"/>
                <w:szCs w:val="18"/>
              </w:rPr>
              <w:t xml:space="preserve">       1,129 </w:t>
            </w:r>
          </w:p>
        </w:tc>
      </w:tr>
      <w:tr w:rsidR="006E49CB" w:rsidRPr="00551D5A" w14:paraId="4CCAB4B5" w14:textId="77777777" w:rsidTr="00997EF7">
        <w:trPr>
          <w:trHeight w:val="104"/>
        </w:trPr>
        <w:tc>
          <w:tcPr>
            <w:tcW w:w="2694" w:type="dxa"/>
            <w:tcBorders>
              <w:top w:val="single" w:sz="4" w:space="0" w:color="auto"/>
              <w:left w:val="nil"/>
              <w:bottom w:val="single" w:sz="4" w:space="0" w:color="auto"/>
              <w:right w:val="nil"/>
            </w:tcBorders>
            <w:shd w:val="clear" w:color="000000" w:fill="FFFFFF"/>
            <w:vAlign w:val="bottom"/>
            <w:hideMark/>
          </w:tcPr>
          <w:p w14:paraId="6C344609" w14:textId="77777777" w:rsidR="00B533BE" w:rsidRPr="00846EEE" w:rsidRDefault="00B533BE" w:rsidP="00997EF7">
            <w:pPr>
              <w:spacing w:after="0" w:line="240" w:lineRule="auto"/>
              <w:ind w:left="-105"/>
              <w:rPr>
                <w:rFonts w:asciiTheme="minorHAnsi" w:hAnsiTheme="minorHAnsi" w:cstheme="minorHAnsi"/>
                <w:sz w:val="18"/>
                <w:szCs w:val="18"/>
              </w:rPr>
            </w:pPr>
            <w:r w:rsidRPr="00846EEE">
              <w:rPr>
                <w:rFonts w:asciiTheme="minorHAnsi" w:hAnsiTheme="minorHAnsi" w:cstheme="minorHAnsi"/>
                <w:sz w:val="18"/>
                <w:szCs w:val="18"/>
                <w:lang w:val="en-US"/>
              </w:rPr>
              <w:t>Total comprehensive income for the year</w:t>
            </w:r>
          </w:p>
        </w:tc>
        <w:tc>
          <w:tcPr>
            <w:tcW w:w="941" w:type="dxa"/>
            <w:tcBorders>
              <w:top w:val="single" w:sz="4" w:space="0" w:color="auto"/>
              <w:left w:val="nil"/>
              <w:bottom w:val="single" w:sz="4" w:space="0" w:color="auto"/>
              <w:right w:val="nil"/>
            </w:tcBorders>
            <w:shd w:val="clear" w:color="000000" w:fill="FFFFFF"/>
            <w:noWrap/>
            <w:vAlign w:val="bottom"/>
            <w:hideMark/>
          </w:tcPr>
          <w:p w14:paraId="2C6FA83A" w14:textId="77777777" w:rsidR="00B533BE" w:rsidRPr="00846EEE" w:rsidRDefault="00B533BE" w:rsidP="006E49CB">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 </w:t>
            </w:r>
          </w:p>
        </w:tc>
        <w:tc>
          <w:tcPr>
            <w:tcW w:w="941" w:type="dxa"/>
            <w:tcBorders>
              <w:top w:val="single" w:sz="4" w:space="0" w:color="auto"/>
              <w:left w:val="nil"/>
              <w:bottom w:val="single" w:sz="4" w:space="0" w:color="auto"/>
              <w:right w:val="nil"/>
            </w:tcBorders>
            <w:shd w:val="clear" w:color="000000" w:fill="FFFFFF"/>
            <w:noWrap/>
            <w:vAlign w:val="bottom"/>
            <w:hideMark/>
          </w:tcPr>
          <w:p w14:paraId="529594B5" w14:textId="77777777" w:rsidR="00B533BE" w:rsidRPr="00846EEE" w:rsidRDefault="00B533BE" w:rsidP="006E49CB">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 </w:t>
            </w:r>
          </w:p>
        </w:tc>
        <w:tc>
          <w:tcPr>
            <w:tcW w:w="941" w:type="dxa"/>
            <w:tcBorders>
              <w:top w:val="single" w:sz="4" w:space="0" w:color="auto"/>
              <w:left w:val="nil"/>
              <w:bottom w:val="single" w:sz="4" w:space="0" w:color="auto"/>
              <w:right w:val="nil"/>
            </w:tcBorders>
            <w:shd w:val="clear" w:color="000000" w:fill="FFFFFF"/>
            <w:noWrap/>
            <w:vAlign w:val="bottom"/>
            <w:hideMark/>
          </w:tcPr>
          <w:p w14:paraId="4F76C336" w14:textId="77777777" w:rsidR="00B533BE" w:rsidRPr="00846EEE" w:rsidRDefault="00B533BE" w:rsidP="006E49CB">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 </w:t>
            </w:r>
          </w:p>
        </w:tc>
        <w:tc>
          <w:tcPr>
            <w:tcW w:w="941" w:type="dxa"/>
            <w:tcBorders>
              <w:top w:val="single" w:sz="4" w:space="0" w:color="auto"/>
              <w:left w:val="nil"/>
              <w:bottom w:val="single" w:sz="4" w:space="0" w:color="auto"/>
              <w:right w:val="nil"/>
            </w:tcBorders>
            <w:shd w:val="clear" w:color="000000" w:fill="FFFFFF"/>
            <w:noWrap/>
            <w:vAlign w:val="bottom"/>
            <w:hideMark/>
          </w:tcPr>
          <w:p w14:paraId="1A2BD832" w14:textId="77777777" w:rsidR="00B533BE" w:rsidRPr="00846EEE" w:rsidRDefault="00B533BE" w:rsidP="006E49CB">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 </w:t>
            </w:r>
          </w:p>
        </w:tc>
        <w:tc>
          <w:tcPr>
            <w:tcW w:w="941" w:type="dxa"/>
            <w:tcBorders>
              <w:top w:val="single" w:sz="4" w:space="0" w:color="auto"/>
              <w:left w:val="nil"/>
              <w:bottom w:val="single" w:sz="4" w:space="0" w:color="auto"/>
              <w:right w:val="nil"/>
            </w:tcBorders>
            <w:shd w:val="clear" w:color="000000" w:fill="FFFFFF"/>
            <w:noWrap/>
            <w:vAlign w:val="bottom"/>
            <w:hideMark/>
          </w:tcPr>
          <w:p w14:paraId="1F11A705" w14:textId="60DB08D7" w:rsidR="00B533BE" w:rsidRPr="00846EEE" w:rsidRDefault="00B533BE" w:rsidP="006E49CB">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1,129 </w:t>
            </w:r>
          </w:p>
        </w:tc>
        <w:tc>
          <w:tcPr>
            <w:tcW w:w="941" w:type="dxa"/>
            <w:tcBorders>
              <w:top w:val="single" w:sz="4" w:space="0" w:color="auto"/>
              <w:left w:val="nil"/>
              <w:bottom w:val="single" w:sz="4" w:space="0" w:color="auto"/>
              <w:right w:val="nil"/>
            </w:tcBorders>
            <w:shd w:val="clear" w:color="000000" w:fill="FFFFFF"/>
            <w:noWrap/>
            <w:vAlign w:val="bottom"/>
            <w:hideMark/>
          </w:tcPr>
          <w:p w14:paraId="03412EC8" w14:textId="44696042" w:rsidR="00B533BE" w:rsidRPr="00846EEE" w:rsidRDefault="00B533BE" w:rsidP="006E49CB">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7,62</w:t>
            </w:r>
            <w:r w:rsidR="004544E1">
              <w:rPr>
                <w:rFonts w:asciiTheme="minorHAnsi" w:hAnsiTheme="minorHAnsi" w:cstheme="minorHAnsi"/>
                <w:color w:val="000000"/>
                <w:sz w:val="18"/>
                <w:szCs w:val="18"/>
              </w:rPr>
              <w:t>2</w:t>
            </w:r>
            <w:r w:rsidRPr="00846EEE">
              <w:rPr>
                <w:rFonts w:asciiTheme="minorHAnsi" w:hAnsiTheme="minorHAnsi" w:cstheme="minorHAnsi"/>
                <w:color w:val="000000"/>
                <w:sz w:val="18"/>
                <w:szCs w:val="18"/>
              </w:rPr>
              <w:t xml:space="preserve"> </w:t>
            </w:r>
          </w:p>
        </w:tc>
        <w:tc>
          <w:tcPr>
            <w:tcW w:w="941" w:type="dxa"/>
            <w:tcBorders>
              <w:top w:val="single" w:sz="4" w:space="0" w:color="auto"/>
              <w:left w:val="nil"/>
              <w:bottom w:val="single" w:sz="4" w:space="0" w:color="auto"/>
              <w:right w:val="nil"/>
            </w:tcBorders>
            <w:shd w:val="clear" w:color="000000" w:fill="FFFFFF"/>
            <w:noWrap/>
            <w:vAlign w:val="bottom"/>
            <w:hideMark/>
          </w:tcPr>
          <w:p w14:paraId="76AC5877" w14:textId="4E0DFE85" w:rsidR="00B533BE" w:rsidRPr="00846EEE" w:rsidRDefault="00B533BE" w:rsidP="006E49CB">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8,751 </w:t>
            </w:r>
          </w:p>
        </w:tc>
      </w:tr>
      <w:tr w:rsidR="006E49CB" w:rsidRPr="00551D5A" w14:paraId="33358AED" w14:textId="77777777" w:rsidTr="00997EF7">
        <w:trPr>
          <w:trHeight w:val="104"/>
        </w:trPr>
        <w:tc>
          <w:tcPr>
            <w:tcW w:w="2694" w:type="dxa"/>
            <w:tcBorders>
              <w:top w:val="nil"/>
              <w:left w:val="nil"/>
              <w:bottom w:val="nil"/>
              <w:right w:val="nil"/>
            </w:tcBorders>
            <w:shd w:val="clear" w:color="000000" w:fill="FFFFFF"/>
            <w:vAlign w:val="bottom"/>
            <w:hideMark/>
          </w:tcPr>
          <w:p w14:paraId="17836EAE" w14:textId="77777777" w:rsidR="00B533BE" w:rsidRPr="00846EEE" w:rsidRDefault="00B533BE" w:rsidP="00997EF7">
            <w:pPr>
              <w:spacing w:after="0" w:line="240" w:lineRule="auto"/>
              <w:ind w:hanging="105"/>
              <w:jc w:val="both"/>
              <w:rPr>
                <w:rFonts w:asciiTheme="minorHAnsi" w:hAnsiTheme="minorHAnsi" w:cstheme="minorHAnsi"/>
                <w:i/>
                <w:iCs/>
                <w:sz w:val="18"/>
                <w:szCs w:val="18"/>
              </w:rPr>
            </w:pPr>
            <w:r w:rsidRPr="00846EEE">
              <w:rPr>
                <w:rFonts w:asciiTheme="minorHAnsi" w:hAnsiTheme="minorHAnsi" w:cstheme="minorHAnsi"/>
                <w:i/>
                <w:iCs/>
                <w:sz w:val="18"/>
                <w:szCs w:val="18"/>
                <w:lang w:val="en-US"/>
              </w:rPr>
              <w:t>Transactions with shareholders:</w:t>
            </w:r>
          </w:p>
        </w:tc>
        <w:tc>
          <w:tcPr>
            <w:tcW w:w="941" w:type="dxa"/>
            <w:tcBorders>
              <w:top w:val="nil"/>
              <w:left w:val="nil"/>
              <w:bottom w:val="nil"/>
              <w:right w:val="nil"/>
            </w:tcBorders>
            <w:shd w:val="clear" w:color="000000" w:fill="FFFFFF"/>
            <w:noWrap/>
            <w:vAlign w:val="bottom"/>
            <w:hideMark/>
          </w:tcPr>
          <w:p w14:paraId="2839C468" w14:textId="77777777" w:rsidR="00B533BE" w:rsidRPr="00846EEE" w:rsidRDefault="00B533BE" w:rsidP="006E49CB">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w:t>
            </w:r>
          </w:p>
        </w:tc>
        <w:tc>
          <w:tcPr>
            <w:tcW w:w="941" w:type="dxa"/>
            <w:tcBorders>
              <w:top w:val="nil"/>
              <w:left w:val="nil"/>
              <w:bottom w:val="nil"/>
              <w:right w:val="nil"/>
            </w:tcBorders>
            <w:shd w:val="clear" w:color="000000" w:fill="FFFFFF"/>
            <w:noWrap/>
            <w:vAlign w:val="bottom"/>
            <w:hideMark/>
          </w:tcPr>
          <w:p w14:paraId="4B30904A" w14:textId="77777777" w:rsidR="00B533BE" w:rsidRPr="00846EEE" w:rsidRDefault="00B533BE" w:rsidP="006E49CB">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w:t>
            </w:r>
          </w:p>
        </w:tc>
        <w:tc>
          <w:tcPr>
            <w:tcW w:w="941" w:type="dxa"/>
            <w:tcBorders>
              <w:top w:val="nil"/>
              <w:left w:val="nil"/>
              <w:bottom w:val="nil"/>
              <w:right w:val="nil"/>
            </w:tcBorders>
            <w:shd w:val="clear" w:color="000000" w:fill="FFFFFF"/>
            <w:noWrap/>
            <w:vAlign w:val="bottom"/>
            <w:hideMark/>
          </w:tcPr>
          <w:p w14:paraId="211C3DCD" w14:textId="77777777" w:rsidR="00B533BE" w:rsidRPr="00846EEE" w:rsidRDefault="00B533BE" w:rsidP="006E49CB">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w:t>
            </w:r>
          </w:p>
        </w:tc>
        <w:tc>
          <w:tcPr>
            <w:tcW w:w="941" w:type="dxa"/>
            <w:tcBorders>
              <w:top w:val="nil"/>
              <w:left w:val="nil"/>
              <w:bottom w:val="nil"/>
              <w:right w:val="nil"/>
            </w:tcBorders>
            <w:shd w:val="clear" w:color="000000" w:fill="FFFFFF"/>
            <w:noWrap/>
            <w:vAlign w:val="bottom"/>
            <w:hideMark/>
          </w:tcPr>
          <w:p w14:paraId="537BAFEC" w14:textId="77777777" w:rsidR="00B533BE" w:rsidRPr="00846EEE" w:rsidRDefault="00B533BE" w:rsidP="006E49CB">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w:t>
            </w:r>
          </w:p>
        </w:tc>
        <w:tc>
          <w:tcPr>
            <w:tcW w:w="941" w:type="dxa"/>
            <w:tcBorders>
              <w:top w:val="nil"/>
              <w:left w:val="nil"/>
              <w:bottom w:val="nil"/>
              <w:right w:val="nil"/>
            </w:tcBorders>
            <w:shd w:val="clear" w:color="000000" w:fill="FFFFFF"/>
            <w:noWrap/>
            <w:vAlign w:val="bottom"/>
            <w:hideMark/>
          </w:tcPr>
          <w:p w14:paraId="4B18D164" w14:textId="77777777" w:rsidR="00B533BE" w:rsidRPr="00846EEE" w:rsidRDefault="00B533BE" w:rsidP="006E49CB">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w:t>
            </w:r>
          </w:p>
        </w:tc>
        <w:tc>
          <w:tcPr>
            <w:tcW w:w="941" w:type="dxa"/>
            <w:tcBorders>
              <w:top w:val="nil"/>
              <w:left w:val="nil"/>
              <w:bottom w:val="nil"/>
              <w:right w:val="nil"/>
            </w:tcBorders>
            <w:shd w:val="clear" w:color="000000" w:fill="FFFFFF"/>
            <w:noWrap/>
            <w:vAlign w:val="bottom"/>
            <w:hideMark/>
          </w:tcPr>
          <w:p w14:paraId="1225CF4F" w14:textId="77777777" w:rsidR="00B533BE" w:rsidRPr="00846EEE" w:rsidRDefault="00B533BE" w:rsidP="006E49CB">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w:t>
            </w:r>
          </w:p>
        </w:tc>
        <w:tc>
          <w:tcPr>
            <w:tcW w:w="941" w:type="dxa"/>
            <w:tcBorders>
              <w:top w:val="nil"/>
              <w:left w:val="nil"/>
              <w:bottom w:val="nil"/>
              <w:right w:val="nil"/>
            </w:tcBorders>
            <w:shd w:val="clear" w:color="000000" w:fill="FFFFFF"/>
            <w:noWrap/>
            <w:vAlign w:val="bottom"/>
            <w:hideMark/>
          </w:tcPr>
          <w:p w14:paraId="4F8EC557" w14:textId="77777777" w:rsidR="00B533BE" w:rsidRPr="00846EEE" w:rsidRDefault="00B533BE" w:rsidP="006E49CB">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w:t>
            </w:r>
          </w:p>
        </w:tc>
      </w:tr>
      <w:tr w:rsidR="006E49CB" w:rsidRPr="00551D5A" w14:paraId="189BE8DB" w14:textId="77777777" w:rsidTr="00997EF7">
        <w:trPr>
          <w:trHeight w:val="104"/>
        </w:trPr>
        <w:tc>
          <w:tcPr>
            <w:tcW w:w="2694" w:type="dxa"/>
            <w:tcBorders>
              <w:top w:val="nil"/>
              <w:left w:val="nil"/>
              <w:bottom w:val="nil"/>
              <w:right w:val="nil"/>
            </w:tcBorders>
            <w:shd w:val="clear" w:color="000000" w:fill="FFFFFF"/>
            <w:vAlign w:val="bottom"/>
            <w:hideMark/>
          </w:tcPr>
          <w:p w14:paraId="281F644A" w14:textId="77777777" w:rsidR="00B533BE" w:rsidRPr="00846EEE" w:rsidRDefault="00B533BE" w:rsidP="00997EF7">
            <w:pPr>
              <w:spacing w:after="0" w:line="240" w:lineRule="auto"/>
              <w:ind w:hanging="105"/>
              <w:jc w:val="both"/>
              <w:rPr>
                <w:rFonts w:asciiTheme="minorHAnsi" w:hAnsiTheme="minorHAnsi" w:cstheme="minorHAnsi"/>
                <w:sz w:val="18"/>
                <w:szCs w:val="18"/>
              </w:rPr>
            </w:pPr>
            <w:r w:rsidRPr="00846EEE">
              <w:rPr>
                <w:rFonts w:asciiTheme="minorHAnsi" w:hAnsiTheme="minorHAnsi" w:cstheme="minorHAnsi"/>
                <w:sz w:val="18"/>
                <w:szCs w:val="18"/>
                <w:lang w:val="en-US"/>
              </w:rPr>
              <w:t xml:space="preserve">Dividends paid </w:t>
            </w:r>
          </w:p>
        </w:tc>
        <w:tc>
          <w:tcPr>
            <w:tcW w:w="941" w:type="dxa"/>
            <w:tcBorders>
              <w:top w:val="nil"/>
              <w:left w:val="nil"/>
              <w:bottom w:val="nil"/>
              <w:right w:val="nil"/>
            </w:tcBorders>
            <w:shd w:val="clear" w:color="000000" w:fill="FFFFFF"/>
            <w:noWrap/>
            <w:vAlign w:val="bottom"/>
            <w:hideMark/>
          </w:tcPr>
          <w:p w14:paraId="57573B94" w14:textId="77777777" w:rsidR="00B533BE" w:rsidRPr="00846EEE" w:rsidRDefault="00B533BE" w:rsidP="006E49CB">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 </w:t>
            </w:r>
          </w:p>
        </w:tc>
        <w:tc>
          <w:tcPr>
            <w:tcW w:w="941" w:type="dxa"/>
            <w:tcBorders>
              <w:top w:val="nil"/>
              <w:left w:val="nil"/>
              <w:bottom w:val="nil"/>
              <w:right w:val="nil"/>
            </w:tcBorders>
            <w:shd w:val="clear" w:color="000000" w:fill="FFFFFF"/>
            <w:noWrap/>
            <w:vAlign w:val="bottom"/>
            <w:hideMark/>
          </w:tcPr>
          <w:p w14:paraId="48958EA8" w14:textId="77777777" w:rsidR="00B533BE" w:rsidRPr="00846EEE" w:rsidRDefault="00B533BE" w:rsidP="006E49CB">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 </w:t>
            </w:r>
          </w:p>
        </w:tc>
        <w:tc>
          <w:tcPr>
            <w:tcW w:w="941" w:type="dxa"/>
            <w:tcBorders>
              <w:top w:val="nil"/>
              <w:left w:val="nil"/>
              <w:bottom w:val="nil"/>
              <w:right w:val="nil"/>
            </w:tcBorders>
            <w:shd w:val="clear" w:color="000000" w:fill="FFFFFF"/>
            <w:noWrap/>
            <w:vAlign w:val="bottom"/>
            <w:hideMark/>
          </w:tcPr>
          <w:p w14:paraId="2C8EA078" w14:textId="77777777" w:rsidR="00B533BE" w:rsidRPr="00846EEE" w:rsidRDefault="00B533BE" w:rsidP="006E49CB">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 </w:t>
            </w:r>
          </w:p>
        </w:tc>
        <w:tc>
          <w:tcPr>
            <w:tcW w:w="941" w:type="dxa"/>
            <w:tcBorders>
              <w:top w:val="nil"/>
              <w:left w:val="nil"/>
              <w:bottom w:val="nil"/>
              <w:right w:val="nil"/>
            </w:tcBorders>
            <w:shd w:val="clear" w:color="000000" w:fill="FFFFFF"/>
            <w:noWrap/>
            <w:vAlign w:val="bottom"/>
            <w:hideMark/>
          </w:tcPr>
          <w:p w14:paraId="76AEE279" w14:textId="77777777" w:rsidR="00B533BE" w:rsidRPr="00846EEE" w:rsidRDefault="00B533BE" w:rsidP="006E49CB">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 </w:t>
            </w:r>
          </w:p>
        </w:tc>
        <w:tc>
          <w:tcPr>
            <w:tcW w:w="941" w:type="dxa"/>
            <w:tcBorders>
              <w:top w:val="nil"/>
              <w:left w:val="nil"/>
              <w:bottom w:val="nil"/>
              <w:right w:val="nil"/>
            </w:tcBorders>
            <w:shd w:val="clear" w:color="000000" w:fill="FFFFFF"/>
            <w:noWrap/>
            <w:vAlign w:val="bottom"/>
            <w:hideMark/>
          </w:tcPr>
          <w:p w14:paraId="2E3335B8" w14:textId="77777777" w:rsidR="00B533BE" w:rsidRPr="00846EEE" w:rsidRDefault="00B533BE" w:rsidP="006E49CB">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 </w:t>
            </w:r>
          </w:p>
        </w:tc>
        <w:tc>
          <w:tcPr>
            <w:tcW w:w="941" w:type="dxa"/>
            <w:tcBorders>
              <w:top w:val="nil"/>
              <w:left w:val="nil"/>
              <w:bottom w:val="nil"/>
              <w:right w:val="nil"/>
            </w:tcBorders>
            <w:shd w:val="clear" w:color="000000" w:fill="FFFFFF"/>
            <w:noWrap/>
            <w:vAlign w:val="bottom"/>
            <w:hideMark/>
          </w:tcPr>
          <w:p w14:paraId="7DA08DC3" w14:textId="370F3018" w:rsidR="00B533BE" w:rsidRPr="00846EEE" w:rsidRDefault="00B533BE" w:rsidP="006E49CB">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(2,844)</w:t>
            </w:r>
          </w:p>
        </w:tc>
        <w:tc>
          <w:tcPr>
            <w:tcW w:w="941" w:type="dxa"/>
            <w:tcBorders>
              <w:top w:val="nil"/>
              <w:left w:val="nil"/>
              <w:bottom w:val="nil"/>
              <w:right w:val="nil"/>
            </w:tcBorders>
            <w:shd w:val="clear" w:color="000000" w:fill="FFFFFF"/>
            <w:noWrap/>
            <w:vAlign w:val="bottom"/>
            <w:hideMark/>
          </w:tcPr>
          <w:p w14:paraId="136B5B58" w14:textId="0DEAAF5F" w:rsidR="00B533BE" w:rsidRPr="00846EEE" w:rsidRDefault="00B533BE" w:rsidP="006E49CB">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(2,844)</w:t>
            </w:r>
          </w:p>
        </w:tc>
      </w:tr>
      <w:tr w:rsidR="006E49CB" w:rsidRPr="00551D5A" w14:paraId="7EB7298F" w14:textId="77777777" w:rsidTr="00997EF7">
        <w:trPr>
          <w:trHeight w:val="104"/>
        </w:trPr>
        <w:tc>
          <w:tcPr>
            <w:tcW w:w="2694" w:type="dxa"/>
            <w:tcBorders>
              <w:top w:val="nil"/>
              <w:left w:val="nil"/>
              <w:bottom w:val="nil"/>
              <w:right w:val="nil"/>
            </w:tcBorders>
            <w:shd w:val="clear" w:color="000000" w:fill="FFFFFF"/>
            <w:vAlign w:val="bottom"/>
            <w:hideMark/>
          </w:tcPr>
          <w:p w14:paraId="3040E1A4" w14:textId="77FC654D" w:rsidR="00B533BE" w:rsidRPr="00846EEE" w:rsidRDefault="00B533BE" w:rsidP="00997EF7">
            <w:pPr>
              <w:spacing w:after="0" w:line="240" w:lineRule="auto"/>
              <w:ind w:hanging="105"/>
              <w:jc w:val="both"/>
              <w:rPr>
                <w:rFonts w:asciiTheme="minorHAnsi" w:hAnsiTheme="minorHAnsi" w:cstheme="minorHAnsi"/>
                <w:sz w:val="18"/>
                <w:szCs w:val="18"/>
              </w:rPr>
            </w:pPr>
            <w:r w:rsidRPr="00846EEE">
              <w:rPr>
                <w:rFonts w:asciiTheme="minorHAnsi" w:hAnsiTheme="minorHAnsi" w:cstheme="minorHAnsi"/>
                <w:sz w:val="18"/>
                <w:szCs w:val="18"/>
                <w:lang w:val="en-US"/>
              </w:rPr>
              <w:t>Share-based payments</w:t>
            </w:r>
            <w:r w:rsidR="000B12E1">
              <w:rPr>
                <w:rFonts w:asciiTheme="minorHAnsi" w:hAnsiTheme="minorHAnsi" w:cstheme="minorHAnsi"/>
                <w:sz w:val="18"/>
                <w:szCs w:val="18"/>
                <w:lang w:val="en-US"/>
              </w:rPr>
              <w:t xml:space="preserve"> charge</w:t>
            </w:r>
          </w:p>
        </w:tc>
        <w:tc>
          <w:tcPr>
            <w:tcW w:w="941" w:type="dxa"/>
            <w:tcBorders>
              <w:top w:val="nil"/>
              <w:left w:val="nil"/>
              <w:bottom w:val="nil"/>
              <w:right w:val="nil"/>
            </w:tcBorders>
            <w:shd w:val="clear" w:color="000000" w:fill="FFFFFF"/>
            <w:noWrap/>
            <w:vAlign w:val="bottom"/>
            <w:hideMark/>
          </w:tcPr>
          <w:p w14:paraId="441D2060" w14:textId="77777777" w:rsidR="00B533BE" w:rsidRPr="00846EEE" w:rsidRDefault="00B533BE" w:rsidP="006E49CB">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 </w:t>
            </w:r>
          </w:p>
        </w:tc>
        <w:tc>
          <w:tcPr>
            <w:tcW w:w="941" w:type="dxa"/>
            <w:tcBorders>
              <w:top w:val="nil"/>
              <w:left w:val="nil"/>
              <w:bottom w:val="nil"/>
              <w:right w:val="nil"/>
            </w:tcBorders>
            <w:shd w:val="clear" w:color="000000" w:fill="FFFFFF"/>
            <w:noWrap/>
            <w:vAlign w:val="bottom"/>
            <w:hideMark/>
          </w:tcPr>
          <w:p w14:paraId="2C6FEDE0" w14:textId="77777777" w:rsidR="00B533BE" w:rsidRPr="00846EEE" w:rsidRDefault="00B533BE" w:rsidP="006E49CB">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 </w:t>
            </w:r>
          </w:p>
        </w:tc>
        <w:tc>
          <w:tcPr>
            <w:tcW w:w="941" w:type="dxa"/>
            <w:tcBorders>
              <w:top w:val="nil"/>
              <w:left w:val="nil"/>
              <w:bottom w:val="nil"/>
              <w:right w:val="nil"/>
            </w:tcBorders>
            <w:shd w:val="clear" w:color="000000" w:fill="FFFFFF"/>
            <w:noWrap/>
            <w:vAlign w:val="bottom"/>
            <w:hideMark/>
          </w:tcPr>
          <w:p w14:paraId="5D056C89" w14:textId="77777777" w:rsidR="00B533BE" w:rsidRPr="00846EEE" w:rsidRDefault="00B533BE" w:rsidP="006E49CB">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 </w:t>
            </w:r>
          </w:p>
        </w:tc>
        <w:tc>
          <w:tcPr>
            <w:tcW w:w="941" w:type="dxa"/>
            <w:tcBorders>
              <w:top w:val="nil"/>
              <w:left w:val="nil"/>
              <w:bottom w:val="nil"/>
              <w:right w:val="nil"/>
            </w:tcBorders>
            <w:shd w:val="clear" w:color="000000" w:fill="FFFFFF"/>
            <w:noWrap/>
            <w:vAlign w:val="bottom"/>
            <w:hideMark/>
          </w:tcPr>
          <w:p w14:paraId="3421AC85" w14:textId="5CB91C97" w:rsidR="00B533BE" w:rsidRPr="00846EEE" w:rsidRDefault="00B533BE" w:rsidP="006E49CB">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144 </w:t>
            </w:r>
          </w:p>
        </w:tc>
        <w:tc>
          <w:tcPr>
            <w:tcW w:w="941" w:type="dxa"/>
            <w:tcBorders>
              <w:top w:val="nil"/>
              <w:left w:val="nil"/>
              <w:bottom w:val="nil"/>
              <w:right w:val="nil"/>
            </w:tcBorders>
            <w:shd w:val="clear" w:color="000000" w:fill="FFFFFF"/>
            <w:noWrap/>
            <w:vAlign w:val="bottom"/>
          </w:tcPr>
          <w:p w14:paraId="0AE4419D" w14:textId="0D3FB466" w:rsidR="00B533BE" w:rsidRPr="00846EEE" w:rsidRDefault="00B533BE" w:rsidP="006E49CB">
            <w:pPr>
              <w:spacing w:after="0" w:line="240" w:lineRule="auto"/>
              <w:rPr>
                <w:rFonts w:asciiTheme="minorHAnsi" w:hAnsiTheme="minorHAnsi" w:cstheme="minorHAnsi"/>
                <w:color w:val="000000"/>
                <w:sz w:val="18"/>
                <w:szCs w:val="18"/>
              </w:rPr>
            </w:pPr>
          </w:p>
        </w:tc>
        <w:tc>
          <w:tcPr>
            <w:tcW w:w="941" w:type="dxa"/>
            <w:tcBorders>
              <w:top w:val="nil"/>
              <w:left w:val="nil"/>
              <w:bottom w:val="nil"/>
              <w:right w:val="nil"/>
            </w:tcBorders>
            <w:shd w:val="clear" w:color="000000" w:fill="FFFFFF"/>
            <w:noWrap/>
            <w:vAlign w:val="bottom"/>
          </w:tcPr>
          <w:p w14:paraId="71B5C899" w14:textId="6B17DB29" w:rsidR="00B533BE" w:rsidRPr="00846EEE" w:rsidRDefault="00B533BE" w:rsidP="006E49CB">
            <w:pPr>
              <w:spacing w:after="0" w:line="240" w:lineRule="auto"/>
              <w:rPr>
                <w:rFonts w:asciiTheme="minorHAnsi" w:hAnsiTheme="minorHAnsi" w:cstheme="minorHAnsi"/>
                <w:color w:val="000000"/>
                <w:sz w:val="18"/>
                <w:szCs w:val="18"/>
              </w:rPr>
            </w:pPr>
          </w:p>
        </w:tc>
        <w:tc>
          <w:tcPr>
            <w:tcW w:w="941" w:type="dxa"/>
            <w:tcBorders>
              <w:top w:val="nil"/>
              <w:left w:val="nil"/>
              <w:bottom w:val="nil"/>
              <w:right w:val="nil"/>
            </w:tcBorders>
            <w:shd w:val="clear" w:color="000000" w:fill="FFFFFF"/>
            <w:noWrap/>
            <w:vAlign w:val="bottom"/>
            <w:hideMark/>
          </w:tcPr>
          <w:p w14:paraId="65DD87FF" w14:textId="51F982BC" w:rsidR="00B533BE" w:rsidRPr="00846EEE" w:rsidRDefault="00B533BE" w:rsidP="006E49CB">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144 </w:t>
            </w:r>
          </w:p>
        </w:tc>
      </w:tr>
      <w:tr w:rsidR="00211D08" w:rsidRPr="00551D5A" w14:paraId="19786348" w14:textId="77777777" w:rsidTr="006E49CB">
        <w:trPr>
          <w:trHeight w:val="104"/>
        </w:trPr>
        <w:tc>
          <w:tcPr>
            <w:tcW w:w="2694" w:type="dxa"/>
            <w:tcBorders>
              <w:top w:val="nil"/>
              <w:left w:val="nil"/>
              <w:bottom w:val="nil"/>
              <w:right w:val="nil"/>
            </w:tcBorders>
            <w:shd w:val="clear" w:color="000000" w:fill="FFFFFF"/>
            <w:vAlign w:val="bottom"/>
          </w:tcPr>
          <w:p w14:paraId="7844B97E" w14:textId="21704D36" w:rsidR="00211D08" w:rsidRPr="00846EEE" w:rsidRDefault="00211D08" w:rsidP="00997EF7">
            <w:pPr>
              <w:spacing w:after="0" w:line="240" w:lineRule="auto"/>
              <w:ind w:left="-105"/>
              <w:rPr>
                <w:rFonts w:asciiTheme="minorHAnsi" w:hAnsiTheme="minorHAnsi" w:cstheme="minorHAnsi"/>
                <w:sz w:val="18"/>
                <w:szCs w:val="18"/>
                <w:lang w:val="en-US"/>
              </w:rPr>
            </w:pPr>
            <w:r>
              <w:rPr>
                <w:rFonts w:asciiTheme="minorHAnsi" w:hAnsiTheme="minorHAnsi" w:cstheme="minorHAnsi"/>
                <w:sz w:val="18"/>
                <w:szCs w:val="18"/>
                <w:lang w:val="en-US"/>
              </w:rPr>
              <w:t>Deferred tax on share-based payments</w:t>
            </w:r>
          </w:p>
        </w:tc>
        <w:tc>
          <w:tcPr>
            <w:tcW w:w="941" w:type="dxa"/>
            <w:tcBorders>
              <w:top w:val="nil"/>
              <w:left w:val="nil"/>
              <w:bottom w:val="nil"/>
              <w:right w:val="nil"/>
            </w:tcBorders>
            <w:shd w:val="clear" w:color="000000" w:fill="FFFFFF"/>
            <w:noWrap/>
            <w:vAlign w:val="bottom"/>
          </w:tcPr>
          <w:p w14:paraId="7F8D0DC2" w14:textId="76ECC856" w:rsidR="00211D08" w:rsidRPr="00846EEE" w:rsidRDefault="00211D08" w:rsidP="006E49CB">
            <w:pPr>
              <w:spacing w:after="0" w:line="240" w:lineRule="auto"/>
              <w:jc w:val="right"/>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941" w:type="dxa"/>
            <w:tcBorders>
              <w:top w:val="nil"/>
              <w:left w:val="nil"/>
              <w:bottom w:val="nil"/>
              <w:right w:val="nil"/>
            </w:tcBorders>
            <w:shd w:val="clear" w:color="000000" w:fill="FFFFFF"/>
            <w:noWrap/>
            <w:vAlign w:val="bottom"/>
          </w:tcPr>
          <w:p w14:paraId="6155B666" w14:textId="3D59CEB4" w:rsidR="00211D08" w:rsidRPr="00846EEE" w:rsidRDefault="00211D08" w:rsidP="006E49CB">
            <w:pPr>
              <w:spacing w:after="0" w:line="240" w:lineRule="auto"/>
              <w:jc w:val="right"/>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941" w:type="dxa"/>
            <w:tcBorders>
              <w:top w:val="nil"/>
              <w:left w:val="nil"/>
              <w:bottom w:val="nil"/>
              <w:right w:val="nil"/>
            </w:tcBorders>
            <w:shd w:val="clear" w:color="000000" w:fill="FFFFFF"/>
            <w:noWrap/>
            <w:vAlign w:val="bottom"/>
          </w:tcPr>
          <w:p w14:paraId="304348B0" w14:textId="1FFABEAF" w:rsidR="00211D08" w:rsidRPr="00846EEE" w:rsidRDefault="00211D08" w:rsidP="006E49CB">
            <w:pPr>
              <w:spacing w:after="0" w:line="240" w:lineRule="auto"/>
              <w:jc w:val="right"/>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941" w:type="dxa"/>
            <w:tcBorders>
              <w:top w:val="nil"/>
              <w:left w:val="nil"/>
              <w:bottom w:val="nil"/>
              <w:right w:val="nil"/>
            </w:tcBorders>
            <w:shd w:val="clear" w:color="000000" w:fill="FFFFFF"/>
            <w:noWrap/>
            <w:vAlign w:val="bottom"/>
          </w:tcPr>
          <w:p w14:paraId="2048556A" w14:textId="0BCDEA19" w:rsidR="00211D08" w:rsidRPr="00846EEE" w:rsidRDefault="00211D08" w:rsidP="006E49CB">
            <w:pPr>
              <w:spacing w:after="0" w:line="240" w:lineRule="auto"/>
              <w:jc w:val="right"/>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941" w:type="dxa"/>
            <w:tcBorders>
              <w:top w:val="nil"/>
              <w:left w:val="nil"/>
              <w:bottom w:val="nil"/>
              <w:right w:val="nil"/>
            </w:tcBorders>
            <w:shd w:val="clear" w:color="000000" w:fill="FFFFFF"/>
            <w:noWrap/>
            <w:vAlign w:val="bottom"/>
          </w:tcPr>
          <w:p w14:paraId="1201964F" w14:textId="3947570E" w:rsidR="00211D08" w:rsidRPr="00846EEE" w:rsidRDefault="00211D08" w:rsidP="00997EF7">
            <w:pPr>
              <w:spacing w:after="0" w:line="240" w:lineRule="auto"/>
              <w:jc w:val="right"/>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941" w:type="dxa"/>
            <w:tcBorders>
              <w:top w:val="nil"/>
              <w:left w:val="nil"/>
              <w:bottom w:val="nil"/>
              <w:right w:val="nil"/>
            </w:tcBorders>
            <w:shd w:val="clear" w:color="000000" w:fill="FFFFFF"/>
            <w:noWrap/>
            <w:vAlign w:val="bottom"/>
          </w:tcPr>
          <w:p w14:paraId="61EFFD29" w14:textId="4981FB02" w:rsidR="00211D08" w:rsidRPr="00846EEE" w:rsidRDefault="00211D08" w:rsidP="00997EF7">
            <w:pPr>
              <w:spacing w:after="0" w:line="240" w:lineRule="auto"/>
              <w:jc w:val="right"/>
              <w:rPr>
                <w:rFonts w:asciiTheme="minorHAnsi" w:hAnsiTheme="minorHAnsi" w:cstheme="minorHAnsi"/>
                <w:color w:val="000000"/>
                <w:sz w:val="18"/>
                <w:szCs w:val="18"/>
              </w:rPr>
            </w:pPr>
            <w:r>
              <w:rPr>
                <w:rFonts w:asciiTheme="minorHAnsi" w:hAnsiTheme="minorHAnsi" w:cstheme="minorHAnsi"/>
                <w:color w:val="000000"/>
                <w:sz w:val="18"/>
                <w:szCs w:val="18"/>
              </w:rPr>
              <w:t>98</w:t>
            </w:r>
          </w:p>
        </w:tc>
        <w:tc>
          <w:tcPr>
            <w:tcW w:w="941" w:type="dxa"/>
            <w:tcBorders>
              <w:top w:val="nil"/>
              <w:left w:val="nil"/>
              <w:bottom w:val="nil"/>
              <w:right w:val="nil"/>
            </w:tcBorders>
            <w:shd w:val="clear" w:color="000000" w:fill="FFFFFF"/>
            <w:noWrap/>
            <w:vAlign w:val="bottom"/>
          </w:tcPr>
          <w:p w14:paraId="4ECFEB08" w14:textId="7229875B" w:rsidR="00211D08" w:rsidRPr="00846EEE" w:rsidRDefault="00211D08" w:rsidP="00211D08">
            <w:pPr>
              <w:spacing w:after="0" w:line="240" w:lineRule="auto"/>
              <w:jc w:val="right"/>
              <w:rPr>
                <w:rFonts w:asciiTheme="minorHAnsi" w:hAnsiTheme="minorHAnsi" w:cstheme="minorHAnsi"/>
                <w:color w:val="000000"/>
                <w:sz w:val="18"/>
                <w:szCs w:val="18"/>
              </w:rPr>
            </w:pPr>
            <w:r>
              <w:rPr>
                <w:rFonts w:asciiTheme="minorHAnsi" w:hAnsiTheme="minorHAnsi" w:cstheme="minorHAnsi"/>
                <w:color w:val="000000"/>
                <w:sz w:val="18"/>
                <w:szCs w:val="18"/>
              </w:rPr>
              <w:t>98</w:t>
            </w:r>
          </w:p>
        </w:tc>
      </w:tr>
      <w:tr w:rsidR="006E49CB" w:rsidRPr="00551D5A" w14:paraId="13651C5D" w14:textId="77777777" w:rsidTr="00997EF7">
        <w:trPr>
          <w:trHeight w:val="104"/>
        </w:trPr>
        <w:tc>
          <w:tcPr>
            <w:tcW w:w="2694" w:type="dxa"/>
            <w:tcBorders>
              <w:top w:val="nil"/>
              <w:left w:val="nil"/>
              <w:bottom w:val="nil"/>
              <w:right w:val="nil"/>
            </w:tcBorders>
            <w:shd w:val="clear" w:color="000000" w:fill="FFFFFF"/>
            <w:vAlign w:val="bottom"/>
            <w:hideMark/>
          </w:tcPr>
          <w:p w14:paraId="53C250AE" w14:textId="199E8C6F" w:rsidR="00B533BE" w:rsidRPr="00846EEE" w:rsidRDefault="00B533BE" w:rsidP="00997EF7">
            <w:pPr>
              <w:spacing w:after="0" w:line="240" w:lineRule="auto"/>
              <w:ind w:hanging="105"/>
              <w:jc w:val="both"/>
              <w:rPr>
                <w:rFonts w:asciiTheme="minorHAnsi" w:hAnsiTheme="minorHAnsi" w:cstheme="minorHAnsi"/>
                <w:sz w:val="18"/>
                <w:szCs w:val="18"/>
              </w:rPr>
            </w:pPr>
            <w:r w:rsidRPr="00846EEE">
              <w:rPr>
                <w:rFonts w:asciiTheme="minorHAnsi" w:hAnsiTheme="minorHAnsi" w:cstheme="minorHAnsi"/>
                <w:sz w:val="18"/>
                <w:szCs w:val="18"/>
                <w:lang w:val="x-none"/>
              </w:rPr>
              <w:t>Purchase/</w:t>
            </w:r>
            <w:r w:rsidR="00BA5BFF">
              <w:rPr>
                <w:rFonts w:asciiTheme="minorHAnsi" w:hAnsiTheme="minorHAnsi" w:cstheme="minorHAnsi"/>
                <w:sz w:val="18"/>
                <w:szCs w:val="18"/>
              </w:rPr>
              <w:t>s</w:t>
            </w:r>
            <w:proofErr w:type="spellStart"/>
            <w:r w:rsidRPr="00846EEE">
              <w:rPr>
                <w:rFonts w:asciiTheme="minorHAnsi" w:hAnsiTheme="minorHAnsi" w:cstheme="minorHAnsi"/>
                <w:sz w:val="18"/>
                <w:szCs w:val="18"/>
                <w:lang w:val="x-none"/>
              </w:rPr>
              <w:t>ale</w:t>
            </w:r>
            <w:proofErr w:type="spellEnd"/>
            <w:r w:rsidRPr="00846EEE">
              <w:rPr>
                <w:rFonts w:asciiTheme="minorHAnsi" w:hAnsiTheme="minorHAnsi" w:cstheme="minorHAnsi"/>
                <w:sz w:val="18"/>
                <w:szCs w:val="18"/>
                <w:lang w:val="x-none"/>
              </w:rPr>
              <w:t xml:space="preserve"> of shares by the EBT</w:t>
            </w:r>
          </w:p>
        </w:tc>
        <w:tc>
          <w:tcPr>
            <w:tcW w:w="941" w:type="dxa"/>
            <w:tcBorders>
              <w:top w:val="nil"/>
              <w:left w:val="nil"/>
              <w:bottom w:val="nil"/>
              <w:right w:val="nil"/>
            </w:tcBorders>
            <w:shd w:val="clear" w:color="000000" w:fill="FFFFFF"/>
            <w:noWrap/>
            <w:vAlign w:val="bottom"/>
            <w:hideMark/>
          </w:tcPr>
          <w:p w14:paraId="609DF541" w14:textId="77777777" w:rsidR="00B533BE" w:rsidRPr="00846EEE" w:rsidRDefault="00B533BE" w:rsidP="006E49CB">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 </w:t>
            </w:r>
          </w:p>
        </w:tc>
        <w:tc>
          <w:tcPr>
            <w:tcW w:w="941" w:type="dxa"/>
            <w:tcBorders>
              <w:top w:val="nil"/>
              <w:left w:val="nil"/>
              <w:bottom w:val="nil"/>
              <w:right w:val="nil"/>
            </w:tcBorders>
            <w:shd w:val="clear" w:color="000000" w:fill="FFFFFF"/>
            <w:noWrap/>
            <w:vAlign w:val="bottom"/>
            <w:hideMark/>
          </w:tcPr>
          <w:p w14:paraId="26D6BAD9" w14:textId="77777777" w:rsidR="00B533BE" w:rsidRPr="00846EEE" w:rsidRDefault="00B533BE" w:rsidP="006E49CB">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 </w:t>
            </w:r>
          </w:p>
        </w:tc>
        <w:tc>
          <w:tcPr>
            <w:tcW w:w="941" w:type="dxa"/>
            <w:tcBorders>
              <w:top w:val="nil"/>
              <w:left w:val="nil"/>
              <w:bottom w:val="nil"/>
              <w:right w:val="nil"/>
            </w:tcBorders>
            <w:shd w:val="clear" w:color="000000" w:fill="FFFFFF"/>
            <w:noWrap/>
            <w:vAlign w:val="bottom"/>
            <w:hideMark/>
          </w:tcPr>
          <w:p w14:paraId="16CAD074" w14:textId="727E4A99" w:rsidR="00B533BE" w:rsidRPr="00846EEE" w:rsidRDefault="00211D08" w:rsidP="006E49CB">
            <w:pPr>
              <w:spacing w:after="0" w:line="240" w:lineRule="auto"/>
              <w:jc w:val="right"/>
              <w:rPr>
                <w:rFonts w:asciiTheme="minorHAnsi" w:hAnsiTheme="minorHAnsi" w:cstheme="minorHAnsi"/>
                <w:color w:val="000000"/>
                <w:sz w:val="18"/>
                <w:szCs w:val="18"/>
              </w:rPr>
            </w:pPr>
            <w:r>
              <w:rPr>
                <w:rFonts w:asciiTheme="minorHAnsi" w:hAnsiTheme="minorHAnsi" w:cstheme="minorHAnsi"/>
                <w:color w:val="000000"/>
                <w:sz w:val="18"/>
                <w:szCs w:val="18"/>
              </w:rPr>
              <w:t>80</w:t>
            </w:r>
            <w:r w:rsidR="00B533BE" w:rsidRPr="00846EEE">
              <w:rPr>
                <w:rFonts w:asciiTheme="minorHAnsi" w:hAnsiTheme="minorHAnsi" w:cstheme="minorHAnsi"/>
                <w:color w:val="000000"/>
                <w:sz w:val="18"/>
                <w:szCs w:val="18"/>
              </w:rPr>
              <w:t xml:space="preserve"> </w:t>
            </w:r>
          </w:p>
        </w:tc>
        <w:tc>
          <w:tcPr>
            <w:tcW w:w="941" w:type="dxa"/>
            <w:tcBorders>
              <w:top w:val="nil"/>
              <w:left w:val="nil"/>
              <w:bottom w:val="nil"/>
              <w:right w:val="nil"/>
            </w:tcBorders>
            <w:shd w:val="clear" w:color="000000" w:fill="FFFFFF"/>
            <w:noWrap/>
            <w:vAlign w:val="bottom"/>
            <w:hideMark/>
          </w:tcPr>
          <w:p w14:paraId="7DABBFC3" w14:textId="7200CC56" w:rsidR="00B533BE" w:rsidRPr="00846EEE" w:rsidRDefault="00B533BE" w:rsidP="006E49CB">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w:t>
            </w:r>
            <w:r w:rsidR="00211D08">
              <w:rPr>
                <w:rFonts w:asciiTheme="minorHAnsi" w:hAnsiTheme="minorHAnsi" w:cstheme="minorHAnsi"/>
                <w:color w:val="000000"/>
                <w:sz w:val="18"/>
                <w:szCs w:val="18"/>
              </w:rPr>
              <w:t>(69)</w:t>
            </w:r>
            <w:r w:rsidRPr="00846EEE">
              <w:rPr>
                <w:rFonts w:asciiTheme="minorHAnsi" w:hAnsiTheme="minorHAnsi" w:cstheme="minorHAnsi"/>
                <w:color w:val="000000"/>
                <w:sz w:val="18"/>
                <w:szCs w:val="18"/>
              </w:rPr>
              <w:t xml:space="preserve"> </w:t>
            </w:r>
          </w:p>
        </w:tc>
        <w:tc>
          <w:tcPr>
            <w:tcW w:w="941" w:type="dxa"/>
            <w:tcBorders>
              <w:top w:val="nil"/>
              <w:left w:val="nil"/>
              <w:bottom w:val="nil"/>
              <w:right w:val="nil"/>
            </w:tcBorders>
            <w:shd w:val="clear" w:color="000000" w:fill="FFFFFF"/>
            <w:noWrap/>
            <w:vAlign w:val="bottom"/>
            <w:hideMark/>
          </w:tcPr>
          <w:p w14:paraId="40E8A2F0" w14:textId="77777777" w:rsidR="00B533BE" w:rsidRPr="00846EEE" w:rsidRDefault="00B533BE" w:rsidP="006E49CB">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 </w:t>
            </w:r>
          </w:p>
        </w:tc>
        <w:tc>
          <w:tcPr>
            <w:tcW w:w="941" w:type="dxa"/>
            <w:tcBorders>
              <w:top w:val="nil"/>
              <w:left w:val="nil"/>
              <w:bottom w:val="nil"/>
              <w:right w:val="nil"/>
            </w:tcBorders>
            <w:shd w:val="clear" w:color="000000" w:fill="FFFFFF"/>
            <w:noWrap/>
            <w:vAlign w:val="bottom"/>
            <w:hideMark/>
          </w:tcPr>
          <w:p w14:paraId="37BF97D9" w14:textId="23ABE9B8" w:rsidR="00B533BE" w:rsidRPr="00846EEE" w:rsidRDefault="00B533BE" w:rsidP="006E49CB">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w:t>
            </w:r>
            <w:r w:rsidR="00211D08">
              <w:rPr>
                <w:rFonts w:asciiTheme="minorHAnsi" w:hAnsiTheme="minorHAnsi" w:cstheme="minorHAnsi"/>
                <w:color w:val="000000"/>
                <w:sz w:val="18"/>
                <w:szCs w:val="18"/>
              </w:rPr>
              <w:t>(11)</w:t>
            </w:r>
            <w:r w:rsidRPr="00846EEE">
              <w:rPr>
                <w:rFonts w:asciiTheme="minorHAnsi" w:hAnsiTheme="minorHAnsi" w:cstheme="minorHAnsi"/>
                <w:color w:val="000000"/>
                <w:sz w:val="18"/>
                <w:szCs w:val="18"/>
              </w:rPr>
              <w:t xml:space="preserve"> </w:t>
            </w:r>
          </w:p>
        </w:tc>
        <w:tc>
          <w:tcPr>
            <w:tcW w:w="941" w:type="dxa"/>
            <w:tcBorders>
              <w:top w:val="nil"/>
              <w:left w:val="nil"/>
              <w:bottom w:val="nil"/>
              <w:right w:val="nil"/>
            </w:tcBorders>
            <w:shd w:val="clear" w:color="000000" w:fill="FFFFFF"/>
            <w:noWrap/>
            <w:vAlign w:val="bottom"/>
            <w:hideMark/>
          </w:tcPr>
          <w:p w14:paraId="4C311E52" w14:textId="1531EFAB" w:rsidR="00B533BE" w:rsidRPr="00846EEE" w:rsidRDefault="00B533BE" w:rsidP="006E49CB">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w:t>
            </w:r>
            <w:r w:rsidR="00211D08">
              <w:rPr>
                <w:rFonts w:asciiTheme="minorHAnsi" w:hAnsiTheme="minorHAnsi" w:cstheme="minorHAnsi"/>
                <w:color w:val="000000"/>
                <w:sz w:val="18"/>
                <w:szCs w:val="18"/>
              </w:rPr>
              <w:t>-</w:t>
            </w:r>
            <w:r w:rsidRPr="00846EEE">
              <w:rPr>
                <w:rFonts w:asciiTheme="minorHAnsi" w:hAnsiTheme="minorHAnsi" w:cstheme="minorHAnsi"/>
                <w:color w:val="000000"/>
                <w:sz w:val="18"/>
                <w:szCs w:val="18"/>
              </w:rPr>
              <w:t xml:space="preserve"> </w:t>
            </w:r>
          </w:p>
        </w:tc>
      </w:tr>
      <w:tr w:rsidR="006E49CB" w:rsidRPr="00551D5A" w14:paraId="247C4F25" w14:textId="77777777" w:rsidTr="00997EF7">
        <w:trPr>
          <w:trHeight w:val="104"/>
        </w:trPr>
        <w:tc>
          <w:tcPr>
            <w:tcW w:w="2694" w:type="dxa"/>
            <w:tcBorders>
              <w:top w:val="single" w:sz="4" w:space="0" w:color="auto"/>
              <w:left w:val="nil"/>
              <w:bottom w:val="single" w:sz="4" w:space="0" w:color="auto"/>
              <w:right w:val="nil"/>
            </w:tcBorders>
            <w:shd w:val="clear" w:color="000000" w:fill="FFFFFF"/>
            <w:vAlign w:val="bottom"/>
            <w:hideMark/>
          </w:tcPr>
          <w:p w14:paraId="28FDD6D5" w14:textId="77777777" w:rsidR="00B533BE" w:rsidRPr="00846EEE" w:rsidRDefault="00B533BE" w:rsidP="00997EF7">
            <w:pPr>
              <w:spacing w:after="0" w:line="240" w:lineRule="auto"/>
              <w:ind w:hanging="105"/>
              <w:rPr>
                <w:rFonts w:asciiTheme="minorHAnsi" w:hAnsiTheme="minorHAnsi" w:cstheme="minorHAnsi"/>
                <w:b/>
                <w:bCs/>
                <w:color w:val="000000"/>
                <w:sz w:val="18"/>
                <w:szCs w:val="18"/>
              </w:rPr>
            </w:pPr>
            <w:r w:rsidRPr="00846EEE">
              <w:rPr>
                <w:rFonts w:asciiTheme="minorHAnsi" w:hAnsiTheme="minorHAnsi" w:cstheme="minorHAnsi"/>
                <w:b/>
                <w:bCs/>
                <w:color w:val="000000"/>
                <w:sz w:val="18"/>
                <w:szCs w:val="18"/>
              </w:rPr>
              <w:t xml:space="preserve">As </w:t>
            </w:r>
            <w:proofErr w:type="gramStart"/>
            <w:r w:rsidRPr="00846EEE">
              <w:rPr>
                <w:rFonts w:asciiTheme="minorHAnsi" w:hAnsiTheme="minorHAnsi" w:cstheme="minorHAnsi"/>
                <w:b/>
                <w:bCs/>
                <w:color w:val="000000"/>
                <w:sz w:val="18"/>
                <w:szCs w:val="18"/>
              </w:rPr>
              <w:t>at</w:t>
            </w:r>
            <w:proofErr w:type="gramEnd"/>
            <w:r w:rsidRPr="00846EEE">
              <w:rPr>
                <w:rFonts w:asciiTheme="minorHAnsi" w:hAnsiTheme="minorHAnsi" w:cstheme="minorHAnsi"/>
                <w:b/>
                <w:bCs/>
                <w:color w:val="000000"/>
                <w:sz w:val="18"/>
                <w:szCs w:val="18"/>
              </w:rPr>
              <w:t xml:space="preserve"> 31 January 2022</w:t>
            </w:r>
          </w:p>
        </w:tc>
        <w:tc>
          <w:tcPr>
            <w:tcW w:w="941" w:type="dxa"/>
            <w:tcBorders>
              <w:top w:val="single" w:sz="4" w:space="0" w:color="auto"/>
              <w:left w:val="nil"/>
              <w:bottom w:val="single" w:sz="4" w:space="0" w:color="auto"/>
              <w:right w:val="nil"/>
            </w:tcBorders>
            <w:shd w:val="clear" w:color="000000" w:fill="FFFFFF"/>
            <w:noWrap/>
            <w:vAlign w:val="bottom"/>
            <w:hideMark/>
          </w:tcPr>
          <w:p w14:paraId="2D2761F4" w14:textId="21B93A58" w:rsidR="00B533BE" w:rsidRPr="00846EEE" w:rsidRDefault="00B533BE" w:rsidP="00B533BE">
            <w:pPr>
              <w:spacing w:after="0" w:line="240" w:lineRule="auto"/>
              <w:jc w:val="right"/>
              <w:rPr>
                <w:rFonts w:asciiTheme="minorHAnsi" w:hAnsiTheme="minorHAnsi" w:cstheme="minorHAnsi"/>
                <w:b/>
                <w:bCs/>
                <w:color w:val="000000"/>
                <w:sz w:val="18"/>
                <w:szCs w:val="18"/>
              </w:rPr>
            </w:pPr>
            <w:r w:rsidRPr="00846EEE">
              <w:rPr>
                <w:rFonts w:asciiTheme="minorHAnsi" w:hAnsiTheme="minorHAnsi" w:cstheme="minorHAnsi"/>
                <w:b/>
                <w:bCs/>
                <w:color w:val="000000"/>
                <w:sz w:val="18"/>
                <w:szCs w:val="18"/>
              </w:rPr>
              <w:t xml:space="preserve">          2</w:t>
            </w:r>
            <w:r w:rsidR="00C8221A">
              <w:rPr>
                <w:rFonts w:asciiTheme="minorHAnsi" w:hAnsiTheme="minorHAnsi" w:cstheme="minorHAnsi"/>
                <w:b/>
                <w:bCs/>
                <w:color w:val="000000"/>
                <w:sz w:val="18"/>
                <w:szCs w:val="18"/>
              </w:rPr>
              <w:t>2</w:t>
            </w:r>
            <w:r w:rsidRPr="00846EEE">
              <w:rPr>
                <w:rFonts w:asciiTheme="minorHAnsi" w:hAnsiTheme="minorHAnsi" w:cstheme="minorHAnsi"/>
                <w:b/>
                <w:bCs/>
                <w:color w:val="000000"/>
                <w:sz w:val="18"/>
                <w:szCs w:val="18"/>
              </w:rPr>
              <w:t xml:space="preserve">3 </w:t>
            </w:r>
          </w:p>
        </w:tc>
        <w:tc>
          <w:tcPr>
            <w:tcW w:w="941" w:type="dxa"/>
            <w:tcBorders>
              <w:top w:val="single" w:sz="4" w:space="0" w:color="auto"/>
              <w:left w:val="nil"/>
              <w:bottom w:val="single" w:sz="4" w:space="0" w:color="auto"/>
              <w:right w:val="nil"/>
            </w:tcBorders>
            <w:shd w:val="clear" w:color="000000" w:fill="FFFFFF"/>
            <w:noWrap/>
            <w:vAlign w:val="bottom"/>
            <w:hideMark/>
          </w:tcPr>
          <w:p w14:paraId="5AE5866F" w14:textId="25B43B88" w:rsidR="00B533BE" w:rsidRPr="00846EEE" w:rsidRDefault="00B533BE" w:rsidP="00B533BE">
            <w:pPr>
              <w:spacing w:after="0" w:line="240" w:lineRule="auto"/>
              <w:jc w:val="right"/>
              <w:rPr>
                <w:rFonts w:asciiTheme="minorHAnsi" w:hAnsiTheme="minorHAnsi" w:cstheme="minorHAnsi"/>
                <w:b/>
                <w:bCs/>
                <w:color w:val="000000"/>
                <w:sz w:val="18"/>
                <w:szCs w:val="18"/>
              </w:rPr>
            </w:pPr>
            <w:r w:rsidRPr="00846EEE">
              <w:rPr>
                <w:rFonts w:asciiTheme="minorHAnsi" w:hAnsiTheme="minorHAnsi" w:cstheme="minorHAnsi"/>
                <w:b/>
                <w:bCs/>
                <w:color w:val="000000"/>
                <w:sz w:val="18"/>
                <w:szCs w:val="18"/>
              </w:rPr>
              <w:t xml:space="preserve">   14,334 </w:t>
            </w:r>
          </w:p>
        </w:tc>
        <w:tc>
          <w:tcPr>
            <w:tcW w:w="941" w:type="dxa"/>
            <w:tcBorders>
              <w:top w:val="single" w:sz="4" w:space="0" w:color="auto"/>
              <w:left w:val="nil"/>
              <w:bottom w:val="single" w:sz="4" w:space="0" w:color="auto"/>
              <w:right w:val="nil"/>
            </w:tcBorders>
            <w:shd w:val="clear" w:color="000000" w:fill="FFFFFF"/>
            <w:noWrap/>
            <w:vAlign w:val="bottom"/>
            <w:hideMark/>
          </w:tcPr>
          <w:p w14:paraId="32634464" w14:textId="71D722FF" w:rsidR="00B533BE" w:rsidRPr="00846EEE" w:rsidRDefault="00B533BE" w:rsidP="00B533BE">
            <w:pPr>
              <w:spacing w:after="0" w:line="240" w:lineRule="auto"/>
              <w:jc w:val="right"/>
              <w:rPr>
                <w:rFonts w:asciiTheme="minorHAnsi" w:hAnsiTheme="minorHAnsi" w:cstheme="minorHAnsi"/>
                <w:b/>
                <w:bCs/>
                <w:color w:val="000000"/>
                <w:sz w:val="18"/>
                <w:szCs w:val="18"/>
              </w:rPr>
            </w:pPr>
            <w:r w:rsidRPr="00846EEE">
              <w:rPr>
                <w:rFonts w:asciiTheme="minorHAnsi" w:hAnsiTheme="minorHAnsi" w:cstheme="minorHAnsi"/>
                <w:b/>
                <w:bCs/>
                <w:color w:val="000000"/>
                <w:sz w:val="18"/>
                <w:szCs w:val="18"/>
              </w:rPr>
              <w:t xml:space="preserve">   (2,072)</w:t>
            </w:r>
          </w:p>
        </w:tc>
        <w:tc>
          <w:tcPr>
            <w:tcW w:w="941" w:type="dxa"/>
            <w:tcBorders>
              <w:top w:val="single" w:sz="4" w:space="0" w:color="auto"/>
              <w:left w:val="nil"/>
              <w:bottom w:val="single" w:sz="4" w:space="0" w:color="auto"/>
              <w:right w:val="nil"/>
            </w:tcBorders>
            <w:shd w:val="clear" w:color="000000" w:fill="FFFFFF"/>
            <w:noWrap/>
            <w:vAlign w:val="bottom"/>
            <w:hideMark/>
          </w:tcPr>
          <w:p w14:paraId="254371AB" w14:textId="1A542974" w:rsidR="00B533BE" w:rsidRPr="00846EEE" w:rsidRDefault="00B533BE" w:rsidP="00B533BE">
            <w:pPr>
              <w:spacing w:after="0" w:line="240" w:lineRule="auto"/>
              <w:jc w:val="right"/>
              <w:rPr>
                <w:rFonts w:asciiTheme="minorHAnsi" w:hAnsiTheme="minorHAnsi" w:cstheme="minorHAnsi"/>
                <w:b/>
                <w:bCs/>
                <w:color w:val="000000"/>
                <w:sz w:val="18"/>
                <w:szCs w:val="18"/>
              </w:rPr>
            </w:pPr>
            <w:r w:rsidRPr="00846EEE">
              <w:rPr>
                <w:rFonts w:asciiTheme="minorHAnsi" w:hAnsiTheme="minorHAnsi" w:cstheme="minorHAnsi"/>
                <w:b/>
                <w:bCs/>
                <w:color w:val="000000"/>
                <w:sz w:val="18"/>
                <w:szCs w:val="18"/>
              </w:rPr>
              <w:t xml:space="preserve">     1,099 </w:t>
            </w:r>
          </w:p>
        </w:tc>
        <w:tc>
          <w:tcPr>
            <w:tcW w:w="941" w:type="dxa"/>
            <w:tcBorders>
              <w:top w:val="single" w:sz="4" w:space="0" w:color="auto"/>
              <w:left w:val="nil"/>
              <w:bottom w:val="single" w:sz="4" w:space="0" w:color="auto"/>
              <w:right w:val="nil"/>
            </w:tcBorders>
            <w:shd w:val="clear" w:color="000000" w:fill="FFFFFF"/>
            <w:noWrap/>
            <w:vAlign w:val="bottom"/>
            <w:hideMark/>
          </w:tcPr>
          <w:p w14:paraId="276C6F96" w14:textId="3FDFB1BF" w:rsidR="00B533BE" w:rsidRPr="00846EEE" w:rsidRDefault="00B533BE" w:rsidP="00B533BE">
            <w:pPr>
              <w:spacing w:after="0" w:line="240" w:lineRule="auto"/>
              <w:jc w:val="right"/>
              <w:rPr>
                <w:rFonts w:asciiTheme="minorHAnsi" w:hAnsiTheme="minorHAnsi" w:cstheme="minorHAnsi"/>
                <w:b/>
                <w:bCs/>
                <w:color w:val="000000"/>
                <w:sz w:val="18"/>
                <w:szCs w:val="18"/>
              </w:rPr>
            </w:pPr>
            <w:r w:rsidRPr="00846EEE">
              <w:rPr>
                <w:rFonts w:asciiTheme="minorHAnsi" w:hAnsiTheme="minorHAnsi" w:cstheme="minorHAnsi"/>
                <w:b/>
                <w:bCs/>
                <w:color w:val="000000"/>
                <w:sz w:val="18"/>
                <w:szCs w:val="18"/>
              </w:rPr>
              <w:t xml:space="preserve">          967 </w:t>
            </w:r>
          </w:p>
        </w:tc>
        <w:tc>
          <w:tcPr>
            <w:tcW w:w="941" w:type="dxa"/>
            <w:tcBorders>
              <w:top w:val="single" w:sz="4" w:space="0" w:color="auto"/>
              <w:left w:val="nil"/>
              <w:bottom w:val="single" w:sz="4" w:space="0" w:color="auto"/>
              <w:right w:val="nil"/>
            </w:tcBorders>
            <w:shd w:val="clear" w:color="000000" w:fill="FFFFFF"/>
            <w:noWrap/>
            <w:vAlign w:val="bottom"/>
            <w:hideMark/>
          </w:tcPr>
          <w:p w14:paraId="06018564" w14:textId="2EA7D44F" w:rsidR="00B533BE" w:rsidRPr="00846EEE" w:rsidRDefault="00B533BE" w:rsidP="00B533BE">
            <w:pPr>
              <w:spacing w:after="0" w:line="240" w:lineRule="auto"/>
              <w:jc w:val="right"/>
              <w:rPr>
                <w:rFonts w:asciiTheme="minorHAnsi" w:hAnsiTheme="minorHAnsi" w:cstheme="minorHAnsi"/>
                <w:b/>
                <w:bCs/>
                <w:color w:val="000000"/>
                <w:sz w:val="18"/>
                <w:szCs w:val="18"/>
              </w:rPr>
            </w:pPr>
            <w:r w:rsidRPr="00846EEE">
              <w:rPr>
                <w:rFonts w:asciiTheme="minorHAnsi" w:hAnsiTheme="minorHAnsi" w:cstheme="minorHAnsi"/>
                <w:b/>
                <w:bCs/>
                <w:color w:val="000000"/>
                <w:sz w:val="18"/>
                <w:szCs w:val="18"/>
              </w:rPr>
              <w:t xml:space="preserve">      23,653 </w:t>
            </w:r>
          </w:p>
        </w:tc>
        <w:tc>
          <w:tcPr>
            <w:tcW w:w="941" w:type="dxa"/>
            <w:tcBorders>
              <w:top w:val="single" w:sz="4" w:space="0" w:color="auto"/>
              <w:left w:val="nil"/>
              <w:bottom w:val="single" w:sz="4" w:space="0" w:color="auto"/>
              <w:right w:val="nil"/>
            </w:tcBorders>
            <w:shd w:val="clear" w:color="000000" w:fill="FFFFFF"/>
            <w:noWrap/>
            <w:vAlign w:val="bottom"/>
            <w:hideMark/>
          </w:tcPr>
          <w:p w14:paraId="03671424" w14:textId="79B29497" w:rsidR="00B533BE" w:rsidRPr="00846EEE" w:rsidRDefault="00B533BE" w:rsidP="00B533BE">
            <w:pPr>
              <w:spacing w:after="0" w:line="240" w:lineRule="auto"/>
              <w:jc w:val="right"/>
              <w:rPr>
                <w:rFonts w:asciiTheme="minorHAnsi" w:hAnsiTheme="minorHAnsi" w:cstheme="minorHAnsi"/>
                <w:b/>
                <w:bCs/>
                <w:color w:val="000000"/>
                <w:sz w:val="18"/>
                <w:szCs w:val="18"/>
              </w:rPr>
            </w:pPr>
            <w:r w:rsidRPr="00846EEE">
              <w:rPr>
                <w:rFonts w:asciiTheme="minorHAnsi" w:hAnsiTheme="minorHAnsi" w:cstheme="minorHAnsi"/>
                <w:b/>
                <w:bCs/>
                <w:color w:val="000000"/>
                <w:sz w:val="18"/>
                <w:szCs w:val="18"/>
              </w:rPr>
              <w:t xml:space="preserve">      38,204 </w:t>
            </w:r>
          </w:p>
        </w:tc>
      </w:tr>
      <w:tr w:rsidR="006E49CB" w:rsidRPr="00551D5A" w14:paraId="4907ECDB" w14:textId="77777777" w:rsidTr="00997EF7">
        <w:trPr>
          <w:trHeight w:val="104"/>
        </w:trPr>
        <w:tc>
          <w:tcPr>
            <w:tcW w:w="2694" w:type="dxa"/>
            <w:tcBorders>
              <w:top w:val="nil"/>
              <w:left w:val="nil"/>
              <w:bottom w:val="nil"/>
              <w:right w:val="nil"/>
            </w:tcBorders>
            <w:shd w:val="clear" w:color="000000" w:fill="FFFFFF"/>
            <w:vAlign w:val="center"/>
            <w:hideMark/>
          </w:tcPr>
          <w:p w14:paraId="4FF4FC68" w14:textId="77777777" w:rsidR="00B533BE" w:rsidRPr="00846EEE" w:rsidRDefault="00B533BE" w:rsidP="00997EF7">
            <w:pPr>
              <w:spacing w:after="0" w:line="240" w:lineRule="auto"/>
              <w:ind w:hanging="105"/>
              <w:rPr>
                <w:rFonts w:asciiTheme="minorHAnsi" w:hAnsiTheme="minorHAnsi" w:cstheme="minorHAnsi"/>
                <w:b/>
                <w:bCs/>
                <w:color w:val="000000"/>
                <w:sz w:val="18"/>
                <w:szCs w:val="18"/>
              </w:rPr>
            </w:pPr>
            <w:r w:rsidRPr="00846EEE">
              <w:rPr>
                <w:rFonts w:asciiTheme="minorHAnsi" w:hAnsiTheme="minorHAnsi" w:cstheme="minorHAnsi"/>
                <w:b/>
                <w:bCs/>
                <w:color w:val="000000"/>
                <w:sz w:val="18"/>
                <w:szCs w:val="18"/>
              </w:rPr>
              <w:t> </w:t>
            </w:r>
          </w:p>
        </w:tc>
        <w:tc>
          <w:tcPr>
            <w:tcW w:w="941" w:type="dxa"/>
            <w:tcBorders>
              <w:top w:val="nil"/>
              <w:left w:val="nil"/>
              <w:bottom w:val="nil"/>
              <w:right w:val="nil"/>
            </w:tcBorders>
            <w:shd w:val="clear" w:color="000000" w:fill="FFFFFF"/>
            <w:vAlign w:val="center"/>
            <w:hideMark/>
          </w:tcPr>
          <w:p w14:paraId="048403F1" w14:textId="77777777" w:rsidR="00B533BE" w:rsidRPr="00846EEE" w:rsidRDefault="00B533BE" w:rsidP="00B533BE">
            <w:pPr>
              <w:spacing w:after="0" w:line="240" w:lineRule="auto"/>
              <w:jc w:val="right"/>
              <w:rPr>
                <w:rFonts w:asciiTheme="minorHAnsi" w:hAnsiTheme="minorHAnsi" w:cstheme="minorHAnsi"/>
                <w:b/>
                <w:bCs/>
                <w:color w:val="000000"/>
                <w:sz w:val="18"/>
                <w:szCs w:val="18"/>
              </w:rPr>
            </w:pPr>
            <w:r w:rsidRPr="00846EEE">
              <w:rPr>
                <w:rFonts w:asciiTheme="minorHAnsi" w:hAnsiTheme="minorHAnsi" w:cstheme="minorHAnsi"/>
                <w:b/>
                <w:bCs/>
                <w:color w:val="000000"/>
                <w:sz w:val="18"/>
                <w:szCs w:val="18"/>
              </w:rPr>
              <w:t> </w:t>
            </w:r>
          </w:p>
        </w:tc>
        <w:tc>
          <w:tcPr>
            <w:tcW w:w="941" w:type="dxa"/>
            <w:tcBorders>
              <w:top w:val="nil"/>
              <w:left w:val="nil"/>
              <w:bottom w:val="nil"/>
              <w:right w:val="nil"/>
            </w:tcBorders>
            <w:shd w:val="clear" w:color="000000" w:fill="FFFFFF"/>
            <w:vAlign w:val="center"/>
            <w:hideMark/>
          </w:tcPr>
          <w:p w14:paraId="5797E614" w14:textId="77777777" w:rsidR="00B533BE" w:rsidRPr="00846EEE" w:rsidRDefault="00B533BE" w:rsidP="00B533BE">
            <w:pPr>
              <w:spacing w:after="0" w:line="240" w:lineRule="auto"/>
              <w:jc w:val="right"/>
              <w:rPr>
                <w:rFonts w:asciiTheme="minorHAnsi" w:hAnsiTheme="minorHAnsi" w:cstheme="minorHAnsi"/>
                <w:b/>
                <w:bCs/>
                <w:color w:val="000000"/>
                <w:sz w:val="18"/>
                <w:szCs w:val="18"/>
              </w:rPr>
            </w:pPr>
            <w:r w:rsidRPr="00846EEE">
              <w:rPr>
                <w:rFonts w:asciiTheme="minorHAnsi" w:hAnsiTheme="minorHAnsi" w:cstheme="minorHAnsi"/>
                <w:b/>
                <w:bCs/>
                <w:color w:val="000000"/>
                <w:sz w:val="18"/>
                <w:szCs w:val="18"/>
              </w:rPr>
              <w:t> </w:t>
            </w:r>
          </w:p>
        </w:tc>
        <w:tc>
          <w:tcPr>
            <w:tcW w:w="941" w:type="dxa"/>
            <w:tcBorders>
              <w:top w:val="nil"/>
              <w:left w:val="nil"/>
              <w:bottom w:val="nil"/>
              <w:right w:val="nil"/>
            </w:tcBorders>
            <w:shd w:val="clear" w:color="000000" w:fill="FFFFFF"/>
            <w:vAlign w:val="center"/>
            <w:hideMark/>
          </w:tcPr>
          <w:p w14:paraId="79626993" w14:textId="77777777" w:rsidR="00B533BE" w:rsidRPr="00846EEE" w:rsidRDefault="00B533BE" w:rsidP="00B533BE">
            <w:pPr>
              <w:spacing w:after="0" w:line="240" w:lineRule="auto"/>
              <w:jc w:val="right"/>
              <w:rPr>
                <w:rFonts w:asciiTheme="minorHAnsi" w:hAnsiTheme="minorHAnsi" w:cstheme="minorHAnsi"/>
                <w:b/>
                <w:bCs/>
                <w:color w:val="000000"/>
                <w:sz w:val="18"/>
                <w:szCs w:val="18"/>
              </w:rPr>
            </w:pPr>
            <w:r w:rsidRPr="00846EEE">
              <w:rPr>
                <w:rFonts w:asciiTheme="minorHAnsi" w:hAnsiTheme="minorHAnsi" w:cstheme="minorHAnsi"/>
                <w:b/>
                <w:bCs/>
                <w:color w:val="000000"/>
                <w:sz w:val="18"/>
                <w:szCs w:val="18"/>
              </w:rPr>
              <w:t> </w:t>
            </w:r>
          </w:p>
        </w:tc>
        <w:tc>
          <w:tcPr>
            <w:tcW w:w="941" w:type="dxa"/>
            <w:tcBorders>
              <w:top w:val="nil"/>
              <w:left w:val="nil"/>
              <w:bottom w:val="nil"/>
              <w:right w:val="nil"/>
            </w:tcBorders>
            <w:shd w:val="clear" w:color="000000" w:fill="FFFFFF"/>
            <w:vAlign w:val="center"/>
            <w:hideMark/>
          </w:tcPr>
          <w:p w14:paraId="4F792436" w14:textId="77777777" w:rsidR="00B533BE" w:rsidRPr="00846EEE" w:rsidRDefault="00B533BE" w:rsidP="00B533BE">
            <w:pPr>
              <w:spacing w:after="0" w:line="240" w:lineRule="auto"/>
              <w:jc w:val="right"/>
              <w:rPr>
                <w:rFonts w:asciiTheme="minorHAnsi" w:hAnsiTheme="minorHAnsi" w:cstheme="minorHAnsi"/>
                <w:b/>
                <w:bCs/>
                <w:color w:val="000000"/>
                <w:sz w:val="18"/>
                <w:szCs w:val="18"/>
              </w:rPr>
            </w:pPr>
            <w:r w:rsidRPr="00846EEE">
              <w:rPr>
                <w:rFonts w:asciiTheme="minorHAnsi" w:hAnsiTheme="minorHAnsi" w:cstheme="minorHAnsi"/>
                <w:b/>
                <w:bCs/>
                <w:color w:val="000000"/>
                <w:sz w:val="18"/>
                <w:szCs w:val="18"/>
              </w:rPr>
              <w:t> </w:t>
            </w:r>
          </w:p>
        </w:tc>
        <w:tc>
          <w:tcPr>
            <w:tcW w:w="941" w:type="dxa"/>
            <w:tcBorders>
              <w:top w:val="nil"/>
              <w:left w:val="nil"/>
              <w:bottom w:val="nil"/>
              <w:right w:val="nil"/>
            </w:tcBorders>
            <w:shd w:val="clear" w:color="000000" w:fill="FFFFFF"/>
            <w:vAlign w:val="center"/>
            <w:hideMark/>
          </w:tcPr>
          <w:p w14:paraId="756F1689" w14:textId="77777777" w:rsidR="00B533BE" w:rsidRPr="00846EEE" w:rsidRDefault="00B533BE" w:rsidP="00B533BE">
            <w:pPr>
              <w:spacing w:after="0" w:line="240" w:lineRule="auto"/>
              <w:jc w:val="right"/>
              <w:rPr>
                <w:rFonts w:asciiTheme="minorHAnsi" w:hAnsiTheme="minorHAnsi" w:cstheme="minorHAnsi"/>
                <w:b/>
                <w:bCs/>
                <w:color w:val="000000"/>
                <w:sz w:val="18"/>
                <w:szCs w:val="18"/>
              </w:rPr>
            </w:pPr>
            <w:r w:rsidRPr="00846EEE">
              <w:rPr>
                <w:rFonts w:asciiTheme="minorHAnsi" w:hAnsiTheme="minorHAnsi" w:cstheme="minorHAnsi"/>
                <w:b/>
                <w:bCs/>
                <w:color w:val="000000"/>
                <w:sz w:val="18"/>
                <w:szCs w:val="18"/>
              </w:rPr>
              <w:t> </w:t>
            </w:r>
          </w:p>
        </w:tc>
        <w:tc>
          <w:tcPr>
            <w:tcW w:w="941" w:type="dxa"/>
            <w:tcBorders>
              <w:top w:val="nil"/>
              <w:left w:val="nil"/>
              <w:bottom w:val="nil"/>
              <w:right w:val="nil"/>
            </w:tcBorders>
            <w:shd w:val="clear" w:color="000000" w:fill="FFFFFF"/>
            <w:vAlign w:val="center"/>
            <w:hideMark/>
          </w:tcPr>
          <w:p w14:paraId="41C08DB1" w14:textId="77777777" w:rsidR="00B533BE" w:rsidRPr="00846EEE" w:rsidRDefault="00B533BE" w:rsidP="00B533BE">
            <w:pPr>
              <w:spacing w:after="0" w:line="240" w:lineRule="auto"/>
              <w:jc w:val="right"/>
              <w:rPr>
                <w:rFonts w:asciiTheme="minorHAnsi" w:hAnsiTheme="minorHAnsi" w:cstheme="minorHAnsi"/>
                <w:b/>
                <w:bCs/>
                <w:color w:val="000000"/>
                <w:sz w:val="18"/>
                <w:szCs w:val="18"/>
              </w:rPr>
            </w:pPr>
            <w:r w:rsidRPr="00846EEE">
              <w:rPr>
                <w:rFonts w:asciiTheme="minorHAnsi" w:hAnsiTheme="minorHAnsi" w:cstheme="minorHAnsi"/>
                <w:b/>
                <w:bCs/>
                <w:color w:val="000000"/>
                <w:sz w:val="18"/>
                <w:szCs w:val="18"/>
              </w:rPr>
              <w:t> </w:t>
            </w:r>
          </w:p>
        </w:tc>
        <w:tc>
          <w:tcPr>
            <w:tcW w:w="941" w:type="dxa"/>
            <w:tcBorders>
              <w:top w:val="nil"/>
              <w:left w:val="nil"/>
              <w:bottom w:val="nil"/>
              <w:right w:val="nil"/>
            </w:tcBorders>
            <w:shd w:val="clear" w:color="000000" w:fill="FFFFFF"/>
            <w:vAlign w:val="center"/>
            <w:hideMark/>
          </w:tcPr>
          <w:p w14:paraId="130885F6" w14:textId="77777777" w:rsidR="00B533BE" w:rsidRPr="00846EEE" w:rsidRDefault="00B533BE" w:rsidP="00B533BE">
            <w:pPr>
              <w:spacing w:after="0" w:line="240" w:lineRule="auto"/>
              <w:jc w:val="right"/>
              <w:rPr>
                <w:rFonts w:asciiTheme="minorHAnsi" w:hAnsiTheme="minorHAnsi" w:cstheme="minorHAnsi"/>
                <w:b/>
                <w:bCs/>
                <w:color w:val="000000"/>
                <w:sz w:val="18"/>
                <w:szCs w:val="18"/>
              </w:rPr>
            </w:pPr>
            <w:r w:rsidRPr="00846EEE">
              <w:rPr>
                <w:rFonts w:asciiTheme="minorHAnsi" w:hAnsiTheme="minorHAnsi" w:cstheme="minorHAnsi"/>
                <w:b/>
                <w:bCs/>
                <w:color w:val="000000"/>
                <w:sz w:val="18"/>
                <w:szCs w:val="18"/>
              </w:rPr>
              <w:t> </w:t>
            </w:r>
          </w:p>
        </w:tc>
      </w:tr>
      <w:tr w:rsidR="006E49CB" w:rsidRPr="00551D5A" w14:paraId="4A8E4508" w14:textId="77777777" w:rsidTr="00997EF7">
        <w:trPr>
          <w:trHeight w:val="312"/>
        </w:trPr>
        <w:tc>
          <w:tcPr>
            <w:tcW w:w="2694" w:type="dxa"/>
            <w:tcBorders>
              <w:top w:val="nil"/>
              <w:left w:val="nil"/>
              <w:bottom w:val="nil"/>
              <w:right w:val="nil"/>
            </w:tcBorders>
            <w:shd w:val="clear" w:color="000000" w:fill="FFFFFF"/>
            <w:vAlign w:val="center"/>
            <w:hideMark/>
          </w:tcPr>
          <w:p w14:paraId="50167A21" w14:textId="77777777" w:rsidR="00B533BE" w:rsidRPr="00846EEE" w:rsidRDefault="00B533BE" w:rsidP="00997EF7">
            <w:pPr>
              <w:spacing w:after="0" w:line="240" w:lineRule="auto"/>
              <w:ind w:hanging="105"/>
              <w:rPr>
                <w:rFonts w:asciiTheme="minorHAnsi" w:hAnsiTheme="minorHAnsi" w:cstheme="minorHAnsi"/>
                <w:b/>
                <w:bCs/>
                <w:color w:val="000000"/>
                <w:sz w:val="18"/>
                <w:szCs w:val="18"/>
              </w:rPr>
            </w:pPr>
            <w:r w:rsidRPr="00846EEE">
              <w:rPr>
                <w:rFonts w:asciiTheme="minorHAnsi" w:hAnsiTheme="minorHAnsi" w:cstheme="minorHAnsi"/>
                <w:b/>
                <w:bCs/>
                <w:color w:val="000000"/>
                <w:sz w:val="18"/>
                <w:szCs w:val="18"/>
              </w:rPr>
              <w:t> </w:t>
            </w:r>
          </w:p>
        </w:tc>
        <w:tc>
          <w:tcPr>
            <w:tcW w:w="941" w:type="dxa"/>
            <w:tcBorders>
              <w:top w:val="nil"/>
              <w:left w:val="nil"/>
              <w:bottom w:val="nil"/>
              <w:right w:val="nil"/>
            </w:tcBorders>
            <w:shd w:val="clear" w:color="000000" w:fill="FFFFFF"/>
            <w:vAlign w:val="bottom"/>
            <w:hideMark/>
          </w:tcPr>
          <w:p w14:paraId="09582566" w14:textId="77777777" w:rsidR="00B533BE" w:rsidRPr="00997EF7" w:rsidRDefault="00B533BE" w:rsidP="00B533BE">
            <w:pPr>
              <w:spacing w:after="0" w:line="240" w:lineRule="auto"/>
              <w:jc w:val="right"/>
              <w:rPr>
                <w:rFonts w:asciiTheme="minorHAnsi" w:hAnsiTheme="minorHAnsi" w:cstheme="minorHAnsi"/>
                <w:b/>
                <w:bCs/>
                <w:color w:val="000000"/>
                <w:sz w:val="16"/>
                <w:szCs w:val="16"/>
              </w:rPr>
            </w:pPr>
            <w:r w:rsidRPr="00997EF7">
              <w:rPr>
                <w:rFonts w:asciiTheme="minorHAnsi" w:hAnsiTheme="minorHAnsi" w:cstheme="minorHAnsi"/>
                <w:b/>
                <w:bCs/>
                <w:color w:val="000000"/>
                <w:sz w:val="16"/>
                <w:szCs w:val="16"/>
              </w:rPr>
              <w:t>Share capital</w:t>
            </w:r>
          </w:p>
        </w:tc>
        <w:tc>
          <w:tcPr>
            <w:tcW w:w="941" w:type="dxa"/>
            <w:tcBorders>
              <w:top w:val="nil"/>
              <w:left w:val="nil"/>
              <w:bottom w:val="nil"/>
              <w:right w:val="nil"/>
            </w:tcBorders>
            <w:shd w:val="clear" w:color="000000" w:fill="FFFFFF"/>
            <w:vAlign w:val="bottom"/>
            <w:hideMark/>
          </w:tcPr>
          <w:p w14:paraId="159F72A1" w14:textId="77777777" w:rsidR="00B533BE" w:rsidRPr="00997EF7" w:rsidRDefault="00B533BE" w:rsidP="00B533BE">
            <w:pPr>
              <w:spacing w:after="0" w:line="240" w:lineRule="auto"/>
              <w:jc w:val="right"/>
              <w:rPr>
                <w:rFonts w:asciiTheme="minorHAnsi" w:hAnsiTheme="minorHAnsi" w:cstheme="minorHAnsi"/>
                <w:b/>
                <w:bCs/>
                <w:color w:val="000000"/>
                <w:sz w:val="16"/>
                <w:szCs w:val="16"/>
              </w:rPr>
            </w:pPr>
            <w:r w:rsidRPr="00997EF7">
              <w:rPr>
                <w:rFonts w:asciiTheme="minorHAnsi" w:hAnsiTheme="minorHAnsi" w:cstheme="minorHAnsi"/>
                <w:b/>
                <w:bCs/>
                <w:color w:val="000000"/>
                <w:sz w:val="16"/>
                <w:szCs w:val="16"/>
              </w:rPr>
              <w:t>Share premium</w:t>
            </w:r>
          </w:p>
        </w:tc>
        <w:tc>
          <w:tcPr>
            <w:tcW w:w="941" w:type="dxa"/>
            <w:tcBorders>
              <w:top w:val="nil"/>
              <w:left w:val="nil"/>
              <w:bottom w:val="nil"/>
              <w:right w:val="nil"/>
            </w:tcBorders>
            <w:shd w:val="clear" w:color="000000" w:fill="FFFFFF"/>
            <w:vAlign w:val="bottom"/>
            <w:hideMark/>
          </w:tcPr>
          <w:p w14:paraId="20FD4349" w14:textId="77777777" w:rsidR="00B533BE" w:rsidRPr="00997EF7" w:rsidRDefault="00B533BE" w:rsidP="00B533BE">
            <w:pPr>
              <w:spacing w:after="0" w:line="240" w:lineRule="auto"/>
              <w:jc w:val="right"/>
              <w:rPr>
                <w:rFonts w:asciiTheme="minorHAnsi" w:hAnsiTheme="minorHAnsi" w:cstheme="minorHAnsi"/>
                <w:b/>
                <w:bCs/>
                <w:color w:val="000000"/>
                <w:sz w:val="16"/>
                <w:szCs w:val="16"/>
              </w:rPr>
            </w:pPr>
            <w:r w:rsidRPr="00997EF7">
              <w:rPr>
                <w:rFonts w:asciiTheme="minorHAnsi" w:hAnsiTheme="minorHAnsi" w:cstheme="minorHAnsi"/>
                <w:b/>
                <w:bCs/>
                <w:color w:val="000000"/>
                <w:sz w:val="16"/>
                <w:szCs w:val="16"/>
              </w:rPr>
              <w:t xml:space="preserve">Employee Benefit Trust reserve </w:t>
            </w:r>
          </w:p>
        </w:tc>
        <w:tc>
          <w:tcPr>
            <w:tcW w:w="941" w:type="dxa"/>
            <w:tcBorders>
              <w:top w:val="nil"/>
              <w:left w:val="nil"/>
              <w:bottom w:val="nil"/>
              <w:right w:val="nil"/>
            </w:tcBorders>
            <w:shd w:val="clear" w:color="000000" w:fill="FFFFFF"/>
            <w:vAlign w:val="bottom"/>
            <w:hideMark/>
          </w:tcPr>
          <w:p w14:paraId="2F0B1539" w14:textId="77777777" w:rsidR="00B533BE" w:rsidRPr="00997EF7" w:rsidRDefault="00B533BE" w:rsidP="00B533BE">
            <w:pPr>
              <w:spacing w:after="0" w:line="240" w:lineRule="auto"/>
              <w:jc w:val="right"/>
              <w:rPr>
                <w:rFonts w:asciiTheme="minorHAnsi" w:hAnsiTheme="minorHAnsi" w:cstheme="minorHAnsi"/>
                <w:b/>
                <w:bCs/>
                <w:color w:val="000000"/>
                <w:sz w:val="16"/>
                <w:szCs w:val="16"/>
              </w:rPr>
            </w:pPr>
            <w:r w:rsidRPr="00997EF7">
              <w:rPr>
                <w:rFonts w:asciiTheme="minorHAnsi" w:hAnsiTheme="minorHAnsi" w:cstheme="minorHAnsi"/>
                <w:b/>
                <w:bCs/>
                <w:color w:val="000000"/>
                <w:sz w:val="16"/>
                <w:szCs w:val="16"/>
              </w:rPr>
              <w:t xml:space="preserve">Share-based payment reserve </w:t>
            </w:r>
          </w:p>
        </w:tc>
        <w:tc>
          <w:tcPr>
            <w:tcW w:w="941" w:type="dxa"/>
            <w:tcBorders>
              <w:top w:val="nil"/>
              <w:left w:val="nil"/>
              <w:bottom w:val="nil"/>
              <w:right w:val="nil"/>
            </w:tcBorders>
            <w:shd w:val="clear" w:color="000000" w:fill="FFFFFF"/>
            <w:vAlign w:val="bottom"/>
            <w:hideMark/>
          </w:tcPr>
          <w:p w14:paraId="5739ED0B" w14:textId="77777777" w:rsidR="00B533BE" w:rsidRPr="00997EF7" w:rsidRDefault="00B533BE" w:rsidP="00B533BE">
            <w:pPr>
              <w:spacing w:after="0" w:line="240" w:lineRule="auto"/>
              <w:jc w:val="right"/>
              <w:rPr>
                <w:rFonts w:asciiTheme="minorHAnsi" w:hAnsiTheme="minorHAnsi" w:cstheme="minorHAnsi"/>
                <w:b/>
                <w:bCs/>
                <w:color w:val="000000"/>
                <w:sz w:val="16"/>
                <w:szCs w:val="16"/>
              </w:rPr>
            </w:pPr>
            <w:r w:rsidRPr="00997EF7">
              <w:rPr>
                <w:rFonts w:asciiTheme="minorHAnsi" w:hAnsiTheme="minorHAnsi" w:cstheme="minorHAnsi"/>
                <w:b/>
                <w:bCs/>
                <w:color w:val="000000"/>
                <w:sz w:val="16"/>
                <w:szCs w:val="16"/>
              </w:rPr>
              <w:t>Hedging reserve</w:t>
            </w:r>
          </w:p>
        </w:tc>
        <w:tc>
          <w:tcPr>
            <w:tcW w:w="941" w:type="dxa"/>
            <w:tcBorders>
              <w:top w:val="nil"/>
              <w:left w:val="nil"/>
              <w:bottom w:val="nil"/>
              <w:right w:val="nil"/>
            </w:tcBorders>
            <w:shd w:val="clear" w:color="000000" w:fill="FFFFFF"/>
            <w:vAlign w:val="bottom"/>
            <w:hideMark/>
          </w:tcPr>
          <w:p w14:paraId="6447A7D2" w14:textId="77777777" w:rsidR="00B533BE" w:rsidRPr="00997EF7" w:rsidRDefault="00B533BE" w:rsidP="00B533BE">
            <w:pPr>
              <w:spacing w:after="0" w:line="240" w:lineRule="auto"/>
              <w:jc w:val="right"/>
              <w:rPr>
                <w:rFonts w:asciiTheme="minorHAnsi" w:hAnsiTheme="minorHAnsi" w:cstheme="minorHAnsi"/>
                <w:b/>
                <w:bCs/>
                <w:color w:val="000000"/>
                <w:sz w:val="16"/>
                <w:szCs w:val="16"/>
              </w:rPr>
            </w:pPr>
            <w:r w:rsidRPr="00997EF7">
              <w:rPr>
                <w:rFonts w:asciiTheme="minorHAnsi" w:hAnsiTheme="minorHAnsi" w:cstheme="minorHAnsi"/>
                <w:b/>
                <w:bCs/>
                <w:color w:val="000000"/>
                <w:sz w:val="16"/>
                <w:szCs w:val="16"/>
              </w:rPr>
              <w:t>Retained earnings</w:t>
            </w:r>
          </w:p>
        </w:tc>
        <w:tc>
          <w:tcPr>
            <w:tcW w:w="941" w:type="dxa"/>
            <w:tcBorders>
              <w:top w:val="nil"/>
              <w:left w:val="nil"/>
              <w:bottom w:val="nil"/>
              <w:right w:val="nil"/>
            </w:tcBorders>
            <w:shd w:val="clear" w:color="000000" w:fill="FFFFFF"/>
            <w:vAlign w:val="bottom"/>
            <w:hideMark/>
          </w:tcPr>
          <w:p w14:paraId="2BFE018D" w14:textId="77777777" w:rsidR="00B533BE" w:rsidRPr="00997EF7" w:rsidRDefault="00B533BE" w:rsidP="00B533BE">
            <w:pPr>
              <w:spacing w:after="0" w:line="240" w:lineRule="auto"/>
              <w:jc w:val="right"/>
              <w:rPr>
                <w:rFonts w:asciiTheme="minorHAnsi" w:hAnsiTheme="minorHAnsi" w:cstheme="minorHAnsi"/>
                <w:b/>
                <w:bCs/>
                <w:color w:val="000000"/>
                <w:sz w:val="16"/>
                <w:szCs w:val="16"/>
              </w:rPr>
            </w:pPr>
            <w:r w:rsidRPr="00997EF7">
              <w:rPr>
                <w:rFonts w:asciiTheme="minorHAnsi" w:hAnsiTheme="minorHAnsi" w:cstheme="minorHAnsi"/>
                <w:b/>
                <w:bCs/>
                <w:color w:val="000000"/>
                <w:sz w:val="16"/>
                <w:szCs w:val="16"/>
              </w:rPr>
              <w:t>Total equity</w:t>
            </w:r>
          </w:p>
        </w:tc>
      </w:tr>
      <w:tr w:rsidR="006E49CB" w:rsidRPr="00551D5A" w14:paraId="6C3E9FD1" w14:textId="77777777" w:rsidTr="00997EF7">
        <w:trPr>
          <w:trHeight w:val="104"/>
        </w:trPr>
        <w:tc>
          <w:tcPr>
            <w:tcW w:w="2694" w:type="dxa"/>
            <w:tcBorders>
              <w:top w:val="nil"/>
              <w:left w:val="nil"/>
              <w:bottom w:val="single" w:sz="4" w:space="0" w:color="auto"/>
              <w:right w:val="nil"/>
            </w:tcBorders>
            <w:shd w:val="clear" w:color="000000" w:fill="FFFFFF"/>
            <w:vAlign w:val="center"/>
            <w:hideMark/>
          </w:tcPr>
          <w:p w14:paraId="4EFB1055" w14:textId="77777777" w:rsidR="00B533BE" w:rsidRPr="00846EEE" w:rsidRDefault="00B533BE" w:rsidP="00997EF7">
            <w:pPr>
              <w:spacing w:after="0" w:line="240" w:lineRule="auto"/>
              <w:ind w:hanging="105"/>
              <w:rPr>
                <w:rFonts w:asciiTheme="minorHAnsi" w:hAnsiTheme="minorHAnsi" w:cstheme="minorHAnsi"/>
                <w:b/>
                <w:bCs/>
                <w:color w:val="000000"/>
                <w:sz w:val="18"/>
                <w:szCs w:val="18"/>
              </w:rPr>
            </w:pPr>
            <w:r w:rsidRPr="00846EEE">
              <w:rPr>
                <w:rFonts w:asciiTheme="minorHAnsi" w:hAnsiTheme="minorHAnsi" w:cstheme="minorHAnsi"/>
                <w:b/>
                <w:bCs/>
                <w:color w:val="000000"/>
                <w:sz w:val="18"/>
                <w:szCs w:val="18"/>
              </w:rPr>
              <w:t> </w:t>
            </w:r>
          </w:p>
        </w:tc>
        <w:tc>
          <w:tcPr>
            <w:tcW w:w="941" w:type="dxa"/>
            <w:tcBorders>
              <w:top w:val="nil"/>
              <w:left w:val="nil"/>
              <w:bottom w:val="single" w:sz="4" w:space="0" w:color="auto"/>
              <w:right w:val="nil"/>
            </w:tcBorders>
            <w:shd w:val="clear" w:color="000000" w:fill="FFFFFF"/>
            <w:vAlign w:val="center"/>
            <w:hideMark/>
          </w:tcPr>
          <w:p w14:paraId="10AE7136" w14:textId="77777777" w:rsidR="00B533BE" w:rsidRPr="00846EEE" w:rsidRDefault="00B533BE" w:rsidP="00B533BE">
            <w:pPr>
              <w:spacing w:after="0" w:line="240" w:lineRule="auto"/>
              <w:jc w:val="right"/>
              <w:rPr>
                <w:rFonts w:asciiTheme="minorHAnsi" w:hAnsiTheme="minorHAnsi" w:cstheme="minorHAnsi"/>
                <w:b/>
                <w:bCs/>
                <w:color w:val="000000"/>
                <w:sz w:val="18"/>
                <w:szCs w:val="18"/>
              </w:rPr>
            </w:pPr>
            <w:r w:rsidRPr="00846EEE">
              <w:rPr>
                <w:rFonts w:asciiTheme="minorHAnsi" w:hAnsiTheme="minorHAnsi" w:cstheme="minorHAnsi"/>
                <w:b/>
                <w:bCs/>
                <w:color w:val="000000"/>
                <w:sz w:val="18"/>
                <w:szCs w:val="18"/>
              </w:rPr>
              <w:t>£’000</w:t>
            </w:r>
          </w:p>
        </w:tc>
        <w:tc>
          <w:tcPr>
            <w:tcW w:w="941" w:type="dxa"/>
            <w:tcBorders>
              <w:top w:val="nil"/>
              <w:left w:val="nil"/>
              <w:bottom w:val="single" w:sz="4" w:space="0" w:color="auto"/>
              <w:right w:val="nil"/>
            </w:tcBorders>
            <w:shd w:val="clear" w:color="000000" w:fill="FFFFFF"/>
            <w:vAlign w:val="center"/>
            <w:hideMark/>
          </w:tcPr>
          <w:p w14:paraId="0F39E06A" w14:textId="77777777" w:rsidR="00B533BE" w:rsidRPr="00846EEE" w:rsidRDefault="00B533BE" w:rsidP="00B533BE">
            <w:pPr>
              <w:spacing w:after="0" w:line="240" w:lineRule="auto"/>
              <w:jc w:val="right"/>
              <w:rPr>
                <w:rFonts w:asciiTheme="minorHAnsi" w:hAnsiTheme="minorHAnsi" w:cstheme="minorHAnsi"/>
                <w:b/>
                <w:bCs/>
                <w:color w:val="000000"/>
                <w:sz w:val="18"/>
                <w:szCs w:val="18"/>
              </w:rPr>
            </w:pPr>
            <w:r w:rsidRPr="00846EEE">
              <w:rPr>
                <w:rFonts w:asciiTheme="minorHAnsi" w:hAnsiTheme="minorHAnsi" w:cstheme="minorHAnsi"/>
                <w:b/>
                <w:bCs/>
                <w:color w:val="000000"/>
                <w:sz w:val="18"/>
                <w:szCs w:val="18"/>
              </w:rPr>
              <w:t>£’000</w:t>
            </w:r>
          </w:p>
        </w:tc>
        <w:tc>
          <w:tcPr>
            <w:tcW w:w="941" w:type="dxa"/>
            <w:tcBorders>
              <w:top w:val="nil"/>
              <w:left w:val="nil"/>
              <w:bottom w:val="single" w:sz="4" w:space="0" w:color="auto"/>
              <w:right w:val="nil"/>
            </w:tcBorders>
            <w:shd w:val="clear" w:color="000000" w:fill="FFFFFF"/>
            <w:vAlign w:val="center"/>
            <w:hideMark/>
          </w:tcPr>
          <w:p w14:paraId="3A62F409" w14:textId="77777777" w:rsidR="00B533BE" w:rsidRPr="00846EEE" w:rsidRDefault="00B533BE" w:rsidP="00B533BE">
            <w:pPr>
              <w:spacing w:after="0" w:line="240" w:lineRule="auto"/>
              <w:jc w:val="right"/>
              <w:rPr>
                <w:rFonts w:asciiTheme="minorHAnsi" w:hAnsiTheme="minorHAnsi" w:cstheme="minorHAnsi"/>
                <w:b/>
                <w:bCs/>
                <w:color w:val="000000"/>
                <w:sz w:val="18"/>
                <w:szCs w:val="18"/>
              </w:rPr>
            </w:pPr>
            <w:r w:rsidRPr="00846EEE">
              <w:rPr>
                <w:rFonts w:asciiTheme="minorHAnsi" w:hAnsiTheme="minorHAnsi" w:cstheme="minorHAnsi"/>
                <w:b/>
                <w:bCs/>
                <w:color w:val="000000"/>
                <w:sz w:val="18"/>
                <w:szCs w:val="18"/>
              </w:rPr>
              <w:t>£’000</w:t>
            </w:r>
          </w:p>
        </w:tc>
        <w:tc>
          <w:tcPr>
            <w:tcW w:w="941" w:type="dxa"/>
            <w:tcBorders>
              <w:top w:val="nil"/>
              <w:left w:val="nil"/>
              <w:bottom w:val="single" w:sz="4" w:space="0" w:color="auto"/>
              <w:right w:val="nil"/>
            </w:tcBorders>
            <w:shd w:val="clear" w:color="000000" w:fill="FFFFFF"/>
            <w:vAlign w:val="center"/>
            <w:hideMark/>
          </w:tcPr>
          <w:p w14:paraId="0138D996" w14:textId="77777777" w:rsidR="00B533BE" w:rsidRPr="00846EEE" w:rsidRDefault="00B533BE" w:rsidP="00B533BE">
            <w:pPr>
              <w:spacing w:after="0" w:line="240" w:lineRule="auto"/>
              <w:jc w:val="right"/>
              <w:rPr>
                <w:rFonts w:asciiTheme="minorHAnsi" w:hAnsiTheme="minorHAnsi" w:cstheme="minorHAnsi"/>
                <w:b/>
                <w:bCs/>
                <w:color w:val="000000"/>
                <w:sz w:val="18"/>
                <w:szCs w:val="18"/>
              </w:rPr>
            </w:pPr>
            <w:r w:rsidRPr="00846EEE">
              <w:rPr>
                <w:rFonts w:asciiTheme="minorHAnsi" w:hAnsiTheme="minorHAnsi" w:cstheme="minorHAnsi"/>
                <w:b/>
                <w:bCs/>
                <w:color w:val="000000"/>
                <w:sz w:val="18"/>
                <w:szCs w:val="18"/>
              </w:rPr>
              <w:t>£’000</w:t>
            </w:r>
          </w:p>
        </w:tc>
        <w:tc>
          <w:tcPr>
            <w:tcW w:w="941" w:type="dxa"/>
            <w:tcBorders>
              <w:top w:val="nil"/>
              <w:left w:val="nil"/>
              <w:bottom w:val="single" w:sz="4" w:space="0" w:color="auto"/>
              <w:right w:val="nil"/>
            </w:tcBorders>
            <w:shd w:val="clear" w:color="000000" w:fill="FFFFFF"/>
            <w:vAlign w:val="center"/>
            <w:hideMark/>
          </w:tcPr>
          <w:p w14:paraId="7CFFFA93" w14:textId="77777777" w:rsidR="00B533BE" w:rsidRPr="00846EEE" w:rsidRDefault="00B533BE" w:rsidP="00B533BE">
            <w:pPr>
              <w:spacing w:after="0" w:line="240" w:lineRule="auto"/>
              <w:jc w:val="right"/>
              <w:rPr>
                <w:rFonts w:asciiTheme="minorHAnsi" w:hAnsiTheme="minorHAnsi" w:cstheme="minorHAnsi"/>
                <w:b/>
                <w:bCs/>
                <w:color w:val="000000"/>
                <w:sz w:val="18"/>
                <w:szCs w:val="18"/>
              </w:rPr>
            </w:pPr>
            <w:r w:rsidRPr="00846EEE">
              <w:rPr>
                <w:rFonts w:asciiTheme="minorHAnsi" w:hAnsiTheme="minorHAnsi" w:cstheme="minorHAnsi"/>
                <w:b/>
                <w:bCs/>
                <w:color w:val="000000"/>
                <w:sz w:val="18"/>
                <w:szCs w:val="18"/>
              </w:rPr>
              <w:t>£’000</w:t>
            </w:r>
          </w:p>
        </w:tc>
        <w:tc>
          <w:tcPr>
            <w:tcW w:w="941" w:type="dxa"/>
            <w:tcBorders>
              <w:top w:val="nil"/>
              <w:left w:val="nil"/>
              <w:bottom w:val="single" w:sz="4" w:space="0" w:color="auto"/>
              <w:right w:val="nil"/>
            </w:tcBorders>
            <w:shd w:val="clear" w:color="000000" w:fill="FFFFFF"/>
            <w:vAlign w:val="center"/>
            <w:hideMark/>
          </w:tcPr>
          <w:p w14:paraId="033CC441" w14:textId="77777777" w:rsidR="00B533BE" w:rsidRPr="00846EEE" w:rsidRDefault="00B533BE" w:rsidP="00B533BE">
            <w:pPr>
              <w:spacing w:after="0" w:line="240" w:lineRule="auto"/>
              <w:jc w:val="right"/>
              <w:rPr>
                <w:rFonts w:asciiTheme="minorHAnsi" w:hAnsiTheme="minorHAnsi" w:cstheme="minorHAnsi"/>
                <w:b/>
                <w:bCs/>
                <w:color w:val="000000"/>
                <w:sz w:val="18"/>
                <w:szCs w:val="18"/>
              </w:rPr>
            </w:pPr>
            <w:r w:rsidRPr="00846EEE">
              <w:rPr>
                <w:rFonts w:asciiTheme="minorHAnsi" w:hAnsiTheme="minorHAnsi" w:cstheme="minorHAnsi"/>
                <w:b/>
                <w:bCs/>
                <w:color w:val="000000"/>
                <w:sz w:val="18"/>
                <w:szCs w:val="18"/>
              </w:rPr>
              <w:t>£’000</w:t>
            </w:r>
          </w:p>
        </w:tc>
        <w:tc>
          <w:tcPr>
            <w:tcW w:w="941" w:type="dxa"/>
            <w:tcBorders>
              <w:top w:val="nil"/>
              <w:left w:val="nil"/>
              <w:bottom w:val="single" w:sz="4" w:space="0" w:color="auto"/>
              <w:right w:val="nil"/>
            </w:tcBorders>
            <w:shd w:val="clear" w:color="000000" w:fill="FFFFFF"/>
            <w:vAlign w:val="center"/>
            <w:hideMark/>
          </w:tcPr>
          <w:p w14:paraId="4D41B160" w14:textId="77777777" w:rsidR="00B533BE" w:rsidRPr="00846EEE" w:rsidRDefault="00B533BE" w:rsidP="00B533BE">
            <w:pPr>
              <w:spacing w:after="0" w:line="240" w:lineRule="auto"/>
              <w:jc w:val="right"/>
              <w:rPr>
                <w:rFonts w:asciiTheme="minorHAnsi" w:hAnsiTheme="minorHAnsi" w:cstheme="minorHAnsi"/>
                <w:b/>
                <w:bCs/>
                <w:color w:val="000000"/>
                <w:sz w:val="18"/>
                <w:szCs w:val="18"/>
              </w:rPr>
            </w:pPr>
            <w:r w:rsidRPr="00846EEE">
              <w:rPr>
                <w:rFonts w:asciiTheme="minorHAnsi" w:hAnsiTheme="minorHAnsi" w:cstheme="minorHAnsi"/>
                <w:b/>
                <w:bCs/>
                <w:color w:val="000000"/>
                <w:sz w:val="18"/>
                <w:szCs w:val="18"/>
              </w:rPr>
              <w:t>£’000</w:t>
            </w:r>
          </w:p>
        </w:tc>
      </w:tr>
      <w:tr w:rsidR="006E49CB" w:rsidRPr="00551D5A" w14:paraId="1F6D00AD" w14:textId="77777777" w:rsidTr="00997EF7">
        <w:trPr>
          <w:trHeight w:val="104"/>
        </w:trPr>
        <w:tc>
          <w:tcPr>
            <w:tcW w:w="2694" w:type="dxa"/>
            <w:tcBorders>
              <w:top w:val="nil"/>
              <w:left w:val="nil"/>
              <w:bottom w:val="nil"/>
              <w:right w:val="nil"/>
            </w:tcBorders>
            <w:shd w:val="clear" w:color="000000" w:fill="FFFFFF"/>
            <w:vAlign w:val="bottom"/>
            <w:hideMark/>
          </w:tcPr>
          <w:p w14:paraId="39861401" w14:textId="77777777" w:rsidR="00B533BE" w:rsidRPr="00846EEE" w:rsidRDefault="00B533BE" w:rsidP="00997EF7">
            <w:pPr>
              <w:spacing w:after="0" w:line="240" w:lineRule="auto"/>
              <w:ind w:hanging="105"/>
              <w:rPr>
                <w:rFonts w:asciiTheme="minorHAnsi" w:hAnsiTheme="minorHAnsi" w:cstheme="minorHAnsi"/>
                <w:b/>
                <w:bCs/>
                <w:color w:val="000000"/>
                <w:sz w:val="18"/>
                <w:szCs w:val="18"/>
              </w:rPr>
            </w:pPr>
            <w:r w:rsidRPr="00846EEE">
              <w:rPr>
                <w:rFonts w:asciiTheme="minorHAnsi" w:hAnsiTheme="minorHAnsi" w:cstheme="minorHAnsi"/>
                <w:b/>
                <w:bCs/>
                <w:color w:val="000000"/>
                <w:sz w:val="18"/>
                <w:szCs w:val="18"/>
              </w:rPr>
              <w:t xml:space="preserve">As </w:t>
            </w:r>
            <w:proofErr w:type="gramStart"/>
            <w:r w:rsidRPr="00846EEE">
              <w:rPr>
                <w:rFonts w:asciiTheme="minorHAnsi" w:hAnsiTheme="minorHAnsi" w:cstheme="minorHAnsi"/>
                <w:b/>
                <w:bCs/>
                <w:color w:val="000000"/>
                <w:sz w:val="18"/>
                <w:szCs w:val="18"/>
              </w:rPr>
              <w:t>at</w:t>
            </w:r>
            <w:proofErr w:type="gramEnd"/>
            <w:r w:rsidRPr="00846EEE">
              <w:rPr>
                <w:rFonts w:asciiTheme="minorHAnsi" w:hAnsiTheme="minorHAnsi" w:cstheme="minorHAnsi"/>
                <w:b/>
                <w:bCs/>
                <w:color w:val="000000"/>
                <w:sz w:val="18"/>
                <w:szCs w:val="18"/>
              </w:rPr>
              <w:t xml:space="preserve"> 1 August 2022</w:t>
            </w:r>
          </w:p>
        </w:tc>
        <w:tc>
          <w:tcPr>
            <w:tcW w:w="941" w:type="dxa"/>
            <w:tcBorders>
              <w:top w:val="nil"/>
              <w:left w:val="nil"/>
              <w:bottom w:val="nil"/>
              <w:right w:val="nil"/>
            </w:tcBorders>
            <w:shd w:val="clear" w:color="000000" w:fill="FFFFFF"/>
            <w:noWrap/>
            <w:vAlign w:val="bottom"/>
            <w:hideMark/>
          </w:tcPr>
          <w:p w14:paraId="67BA4699" w14:textId="77777777" w:rsidR="00B533BE" w:rsidRPr="00846EEE" w:rsidRDefault="00B533BE" w:rsidP="00B533BE">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lang w:val="x-none"/>
              </w:rPr>
              <w:t xml:space="preserve">               223 </w:t>
            </w:r>
          </w:p>
        </w:tc>
        <w:tc>
          <w:tcPr>
            <w:tcW w:w="941" w:type="dxa"/>
            <w:tcBorders>
              <w:top w:val="nil"/>
              <w:left w:val="nil"/>
              <w:bottom w:val="nil"/>
              <w:right w:val="nil"/>
            </w:tcBorders>
            <w:shd w:val="clear" w:color="000000" w:fill="FFFFFF"/>
            <w:noWrap/>
            <w:vAlign w:val="bottom"/>
            <w:hideMark/>
          </w:tcPr>
          <w:p w14:paraId="70334C6C" w14:textId="77777777" w:rsidR="00B533BE" w:rsidRPr="00846EEE" w:rsidRDefault="00B533BE" w:rsidP="00B533BE">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lang w:val="x-none"/>
              </w:rPr>
              <w:t xml:space="preserve">          14,334 </w:t>
            </w:r>
          </w:p>
        </w:tc>
        <w:tc>
          <w:tcPr>
            <w:tcW w:w="941" w:type="dxa"/>
            <w:tcBorders>
              <w:top w:val="nil"/>
              <w:left w:val="nil"/>
              <w:bottom w:val="nil"/>
              <w:right w:val="nil"/>
            </w:tcBorders>
            <w:shd w:val="clear" w:color="000000" w:fill="FFFFFF"/>
            <w:noWrap/>
            <w:vAlign w:val="bottom"/>
            <w:hideMark/>
          </w:tcPr>
          <w:p w14:paraId="7B07BA33" w14:textId="77777777" w:rsidR="00B533BE" w:rsidRPr="00846EEE" w:rsidRDefault="00B533BE" w:rsidP="00B533BE">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lang w:val="x-none"/>
              </w:rPr>
              <w:t xml:space="preserve">          (1,571)</w:t>
            </w:r>
          </w:p>
        </w:tc>
        <w:tc>
          <w:tcPr>
            <w:tcW w:w="941" w:type="dxa"/>
            <w:tcBorders>
              <w:top w:val="nil"/>
              <w:left w:val="nil"/>
              <w:bottom w:val="nil"/>
              <w:right w:val="nil"/>
            </w:tcBorders>
            <w:shd w:val="clear" w:color="000000" w:fill="FFFFFF"/>
            <w:noWrap/>
            <w:vAlign w:val="bottom"/>
            <w:hideMark/>
          </w:tcPr>
          <w:p w14:paraId="727F372D" w14:textId="77777777" w:rsidR="00B533BE" w:rsidRPr="00846EEE" w:rsidRDefault="00B533BE" w:rsidP="00B533BE">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lang w:val="x-none"/>
              </w:rPr>
              <w:t xml:space="preserve">            1,166 </w:t>
            </w:r>
          </w:p>
        </w:tc>
        <w:tc>
          <w:tcPr>
            <w:tcW w:w="941" w:type="dxa"/>
            <w:tcBorders>
              <w:top w:val="nil"/>
              <w:left w:val="nil"/>
              <w:bottom w:val="nil"/>
              <w:right w:val="nil"/>
            </w:tcBorders>
            <w:shd w:val="clear" w:color="000000" w:fill="FFFFFF"/>
            <w:noWrap/>
            <w:vAlign w:val="bottom"/>
            <w:hideMark/>
          </w:tcPr>
          <w:p w14:paraId="1574B4E8" w14:textId="77777777" w:rsidR="00B533BE" w:rsidRPr="00846EEE" w:rsidRDefault="00B533BE" w:rsidP="00B533BE">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lang w:val="x-none"/>
              </w:rPr>
              <w:t xml:space="preserve">            3,239 </w:t>
            </w:r>
          </w:p>
        </w:tc>
        <w:tc>
          <w:tcPr>
            <w:tcW w:w="941" w:type="dxa"/>
            <w:tcBorders>
              <w:top w:val="nil"/>
              <w:left w:val="nil"/>
              <w:bottom w:val="nil"/>
              <w:right w:val="nil"/>
            </w:tcBorders>
            <w:shd w:val="clear" w:color="000000" w:fill="FFFFFF"/>
            <w:noWrap/>
            <w:vAlign w:val="bottom"/>
            <w:hideMark/>
          </w:tcPr>
          <w:p w14:paraId="394CEFFD" w14:textId="77777777" w:rsidR="00B533BE" w:rsidRPr="00846EEE" w:rsidRDefault="00B533BE" w:rsidP="00B533BE">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lang w:val="x-none"/>
              </w:rPr>
              <w:t xml:space="preserve">          26,102 </w:t>
            </w:r>
          </w:p>
        </w:tc>
        <w:tc>
          <w:tcPr>
            <w:tcW w:w="941" w:type="dxa"/>
            <w:tcBorders>
              <w:top w:val="nil"/>
              <w:left w:val="nil"/>
              <w:bottom w:val="nil"/>
              <w:right w:val="nil"/>
            </w:tcBorders>
            <w:shd w:val="clear" w:color="000000" w:fill="FFFFFF"/>
            <w:noWrap/>
            <w:vAlign w:val="bottom"/>
            <w:hideMark/>
          </w:tcPr>
          <w:p w14:paraId="579F903B" w14:textId="77777777" w:rsidR="00B533BE" w:rsidRPr="00846EEE" w:rsidRDefault="00B533BE" w:rsidP="00B533BE">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lang w:val="x-none"/>
              </w:rPr>
              <w:t xml:space="preserve">          43,493 </w:t>
            </w:r>
          </w:p>
        </w:tc>
      </w:tr>
      <w:tr w:rsidR="007D3559" w:rsidRPr="00551D5A" w14:paraId="38BD200E" w14:textId="77777777" w:rsidTr="00997EF7">
        <w:trPr>
          <w:trHeight w:val="145"/>
        </w:trPr>
        <w:tc>
          <w:tcPr>
            <w:tcW w:w="2694" w:type="dxa"/>
            <w:tcBorders>
              <w:top w:val="nil"/>
              <w:left w:val="nil"/>
              <w:bottom w:val="nil"/>
              <w:right w:val="nil"/>
            </w:tcBorders>
            <w:shd w:val="clear" w:color="000000" w:fill="FFFFFF"/>
            <w:vAlign w:val="center"/>
            <w:hideMark/>
          </w:tcPr>
          <w:p w14:paraId="33BFAD23" w14:textId="77777777" w:rsidR="00B533BE" w:rsidRPr="00846EEE" w:rsidRDefault="00B533BE" w:rsidP="00997EF7">
            <w:pPr>
              <w:spacing w:after="0" w:line="240" w:lineRule="auto"/>
              <w:ind w:hanging="105"/>
              <w:jc w:val="both"/>
              <w:rPr>
                <w:rFonts w:asciiTheme="minorHAnsi" w:hAnsiTheme="minorHAnsi" w:cstheme="minorHAnsi"/>
                <w:sz w:val="18"/>
                <w:szCs w:val="18"/>
              </w:rPr>
            </w:pPr>
            <w:r w:rsidRPr="00846EEE">
              <w:rPr>
                <w:rFonts w:asciiTheme="minorHAnsi" w:hAnsiTheme="minorHAnsi" w:cstheme="minorHAnsi"/>
                <w:sz w:val="18"/>
                <w:szCs w:val="18"/>
              </w:rPr>
              <w:t>Profit for the period</w:t>
            </w:r>
          </w:p>
        </w:tc>
        <w:tc>
          <w:tcPr>
            <w:tcW w:w="941" w:type="dxa"/>
            <w:tcBorders>
              <w:top w:val="nil"/>
              <w:left w:val="nil"/>
              <w:bottom w:val="nil"/>
              <w:right w:val="nil"/>
            </w:tcBorders>
            <w:shd w:val="clear" w:color="000000" w:fill="FFFFFF"/>
            <w:noWrap/>
            <w:vAlign w:val="bottom"/>
            <w:hideMark/>
          </w:tcPr>
          <w:p w14:paraId="5B61EBB5" w14:textId="77777777" w:rsidR="00B533BE" w:rsidRPr="00846EEE" w:rsidRDefault="00B533BE" w:rsidP="00B533BE">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 </w:t>
            </w:r>
          </w:p>
        </w:tc>
        <w:tc>
          <w:tcPr>
            <w:tcW w:w="941" w:type="dxa"/>
            <w:tcBorders>
              <w:top w:val="nil"/>
              <w:left w:val="nil"/>
              <w:bottom w:val="nil"/>
              <w:right w:val="nil"/>
            </w:tcBorders>
            <w:shd w:val="clear" w:color="000000" w:fill="FFFFFF"/>
            <w:noWrap/>
            <w:vAlign w:val="bottom"/>
            <w:hideMark/>
          </w:tcPr>
          <w:p w14:paraId="569C7058" w14:textId="77777777" w:rsidR="00B533BE" w:rsidRPr="00846EEE" w:rsidRDefault="00B533BE" w:rsidP="00B533BE">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 </w:t>
            </w:r>
          </w:p>
        </w:tc>
        <w:tc>
          <w:tcPr>
            <w:tcW w:w="941" w:type="dxa"/>
            <w:tcBorders>
              <w:top w:val="nil"/>
              <w:left w:val="nil"/>
              <w:bottom w:val="nil"/>
              <w:right w:val="nil"/>
            </w:tcBorders>
            <w:shd w:val="clear" w:color="000000" w:fill="FFFFFF"/>
            <w:noWrap/>
            <w:vAlign w:val="bottom"/>
            <w:hideMark/>
          </w:tcPr>
          <w:p w14:paraId="4A8EC7E5" w14:textId="77777777" w:rsidR="00B533BE" w:rsidRPr="00846EEE" w:rsidRDefault="00B533BE" w:rsidP="00B533BE">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 </w:t>
            </w:r>
          </w:p>
        </w:tc>
        <w:tc>
          <w:tcPr>
            <w:tcW w:w="941" w:type="dxa"/>
            <w:tcBorders>
              <w:top w:val="nil"/>
              <w:left w:val="nil"/>
              <w:bottom w:val="nil"/>
              <w:right w:val="nil"/>
            </w:tcBorders>
            <w:shd w:val="clear" w:color="000000" w:fill="FFFFFF"/>
            <w:noWrap/>
            <w:vAlign w:val="bottom"/>
            <w:hideMark/>
          </w:tcPr>
          <w:p w14:paraId="6297738E" w14:textId="77777777" w:rsidR="00B533BE" w:rsidRPr="00846EEE" w:rsidRDefault="00B533BE" w:rsidP="00B533BE">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 </w:t>
            </w:r>
          </w:p>
        </w:tc>
        <w:tc>
          <w:tcPr>
            <w:tcW w:w="941" w:type="dxa"/>
            <w:tcBorders>
              <w:top w:val="nil"/>
              <w:left w:val="nil"/>
              <w:bottom w:val="nil"/>
              <w:right w:val="nil"/>
            </w:tcBorders>
            <w:shd w:val="clear" w:color="000000" w:fill="FFFFFF"/>
            <w:noWrap/>
            <w:vAlign w:val="bottom"/>
            <w:hideMark/>
          </w:tcPr>
          <w:p w14:paraId="673906D8" w14:textId="77777777" w:rsidR="00B533BE" w:rsidRPr="00846EEE" w:rsidRDefault="00B533BE" w:rsidP="00B533BE">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 </w:t>
            </w:r>
          </w:p>
        </w:tc>
        <w:tc>
          <w:tcPr>
            <w:tcW w:w="941" w:type="dxa"/>
            <w:tcBorders>
              <w:top w:val="nil"/>
              <w:left w:val="nil"/>
              <w:bottom w:val="nil"/>
              <w:right w:val="nil"/>
            </w:tcBorders>
            <w:shd w:val="clear" w:color="000000" w:fill="FFFFFF"/>
            <w:noWrap/>
            <w:vAlign w:val="bottom"/>
            <w:hideMark/>
          </w:tcPr>
          <w:p w14:paraId="11C87AC4" w14:textId="37C432F6" w:rsidR="00B533BE" w:rsidRPr="00846EEE" w:rsidRDefault="00E37CE5" w:rsidP="00B533BE">
            <w:pPr>
              <w:spacing w:after="0" w:line="240" w:lineRule="auto"/>
              <w:jc w:val="right"/>
              <w:rPr>
                <w:rFonts w:asciiTheme="minorHAnsi" w:hAnsiTheme="minorHAnsi" w:cstheme="minorHAnsi"/>
                <w:color w:val="000000"/>
                <w:sz w:val="18"/>
                <w:szCs w:val="18"/>
              </w:rPr>
            </w:pPr>
            <w:r>
              <w:rPr>
                <w:rFonts w:asciiTheme="minorHAnsi" w:hAnsiTheme="minorHAnsi" w:cstheme="minorHAnsi"/>
                <w:color w:val="000000"/>
                <w:sz w:val="18"/>
                <w:szCs w:val="18"/>
              </w:rPr>
              <w:t>7,280</w:t>
            </w:r>
            <w:r w:rsidR="00B533BE" w:rsidRPr="00846EEE">
              <w:rPr>
                <w:rFonts w:asciiTheme="minorHAnsi" w:hAnsiTheme="minorHAnsi" w:cstheme="minorHAnsi"/>
                <w:color w:val="000000"/>
                <w:sz w:val="18"/>
                <w:szCs w:val="18"/>
              </w:rPr>
              <w:t xml:space="preserve"> </w:t>
            </w:r>
          </w:p>
        </w:tc>
        <w:tc>
          <w:tcPr>
            <w:tcW w:w="941" w:type="dxa"/>
            <w:tcBorders>
              <w:top w:val="nil"/>
              <w:left w:val="nil"/>
              <w:bottom w:val="nil"/>
              <w:right w:val="nil"/>
            </w:tcBorders>
            <w:shd w:val="clear" w:color="000000" w:fill="FFFFFF"/>
            <w:noWrap/>
            <w:vAlign w:val="bottom"/>
            <w:hideMark/>
          </w:tcPr>
          <w:p w14:paraId="531A7310" w14:textId="7CE3D7E9" w:rsidR="00B533BE" w:rsidRPr="00846EEE" w:rsidRDefault="00B533BE" w:rsidP="00B533BE">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w:t>
            </w:r>
            <w:r w:rsidR="00E37CE5">
              <w:rPr>
                <w:rFonts w:asciiTheme="minorHAnsi" w:hAnsiTheme="minorHAnsi" w:cstheme="minorHAnsi"/>
                <w:color w:val="000000"/>
                <w:sz w:val="18"/>
                <w:szCs w:val="18"/>
              </w:rPr>
              <w:t>7,280</w:t>
            </w:r>
            <w:r w:rsidRPr="00846EEE">
              <w:rPr>
                <w:rFonts w:asciiTheme="minorHAnsi" w:hAnsiTheme="minorHAnsi" w:cstheme="minorHAnsi"/>
                <w:color w:val="000000"/>
                <w:sz w:val="18"/>
                <w:szCs w:val="18"/>
              </w:rPr>
              <w:t xml:space="preserve">   </w:t>
            </w:r>
          </w:p>
        </w:tc>
      </w:tr>
      <w:tr w:rsidR="007D3559" w:rsidRPr="00551D5A" w14:paraId="11924D99" w14:textId="77777777" w:rsidTr="00997EF7">
        <w:trPr>
          <w:trHeight w:val="191"/>
        </w:trPr>
        <w:tc>
          <w:tcPr>
            <w:tcW w:w="2694" w:type="dxa"/>
            <w:tcBorders>
              <w:top w:val="nil"/>
              <w:left w:val="nil"/>
              <w:bottom w:val="nil"/>
              <w:right w:val="nil"/>
            </w:tcBorders>
            <w:shd w:val="clear" w:color="000000" w:fill="FFFFFF"/>
            <w:vAlign w:val="center"/>
            <w:hideMark/>
          </w:tcPr>
          <w:p w14:paraId="4A837A7F" w14:textId="77777777" w:rsidR="00B533BE" w:rsidRPr="00846EEE" w:rsidRDefault="00B533BE" w:rsidP="00997EF7">
            <w:pPr>
              <w:spacing w:after="0" w:line="240" w:lineRule="auto"/>
              <w:ind w:hanging="105"/>
              <w:jc w:val="both"/>
              <w:rPr>
                <w:rFonts w:asciiTheme="minorHAnsi" w:hAnsiTheme="minorHAnsi" w:cstheme="minorHAnsi"/>
                <w:sz w:val="18"/>
                <w:szCs w:val="18"/>
              </w:rPr>
            </w:pPr>
            <w:r w:rsidRPr="00846EEE">
              <w:rPr>
                <w:rFonts w:asciiTheme="minorHAnsi" w:hAnsiTheme="minorHAnsi" w:cstheme="minorHAnsi"/>
                <w:sz w:val="18"/>
                <w:szCs w:val="18"/>
              </w:rPr>
              <w:t>Foreign currency translation</w:t>
            </w:r>
          </w:p>
        </w:tc>
        <w:tc>
          <w:tcPr>
            <w:tcW w:w="941" w:type="dxa"/>
            <w:tcBorders>
              <w:top w:val="nil"/>
              <w:left w:val="nil"/>
              <w:bottom w:val="nil"/>
              <w:right w:val="nil"/>
            </w:tcBorders>
            <w:shd w:val="clear" w:color="000000" w:fill="FFFFFF"/>
            <w:noWrap/>
            <w:vAlign w:val="bottom"/>
            <w:hideMark/>
          </w:tcPr>
          <w:p w14:paraId="30FF49EE" w14:textId="77777777" w:rsidR="00B533BE" w:rsidRPr="00846EEE" w:rsidRDefault="00B533BE" w:rsidP="00B533BE">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 </w:t>
            </w:r>
          </w:p>
        </w:tc>
        <w:tc>
          <w:tcPr>
            <w:tcW w:w="941" w:type="dxa"/>
            <w:tcBorders>
              <w:top w:val="nil"/>
              <w:left w:val="nil"/>
              <w:bottom w:val="nil"/>
              <w:right w:val="nil"/>
            </w:tcBorders>
            <w:shd w:val="clear" w:color="000000" w:fill="FFFFFF"/>
            <w:noWrap/>
            <w:vAlign w:val="bottom"/>
            <w:hideMark/>
          </w:tcPr>
          <w:p w14:paraId="4CC40999" w14:textId="77777777" w:rsidR="00B533BE" w:rsidRPr="00846EEE" w:rsidRDefault="00B533BE" w:rsidP="00B533BE">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 </w:t>
            </w:r>
          </w:p>
        </w:tc>
        <w:tc>
          <w:tcPr>
            <w:tcW w:w="941" w:type="dxa"/>
            <w:tcBorders>
              <w:top w:val="nil"/>
              <w:left w:val="nil"/>
              <w:bottom w:val="nil"/>
              <w:right w:val="nil"/>
            </w:tcBorders>
            <w:shd w:val="clear" w:color="000000" w:fill="FFFFFF"/>
            <w:noWrap/>
            <w:vAlign w:val="bottom"/>
            <w:hideMark/>
          </w:tcPr>
          <w:p w14:paraId="17B12021" w14:textId="77777777" w:rsidR="00B533BE" w:rsidRPr="00846EEE" w:rsidRDefault="00B533BE" w:rsidP="00B533BE">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 </w:t>
            </w:r>
          </w:p>
        </w:tc>
        <w:tc>
          <w:tcPr>
            <w:tcW w:w="941" w:type="dxa"/>
            <w:tcBorders>
              <w:top w:val="nil"/>
              <w:left w:val="nil"/>
              <w:bottom w:val="nil"/>
              <w:right w:val="nil"/>
            </w:tcBorders>
            <w:shd w:val="clear" w:color="000000" w:fill="FFFFFF"/>
            <w:noWrap/>
            <w:vAlign w:val="bottom"/>
            <w:hideMark/>
          </w:tcPr>
          <w:p w14:paraId="012A5AE6" w14:textId="77777777" w:rsidR="00B533BE" w:rsidRPr="00846EEE" w:rsidRDefault="00B533BE" w:rsidP="00B533BE">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 </w:t>
            </w:r>
          </w:p>
        </w:tc>
        <w:tc>
          <w:tcPr>
            <w:tcW w:w="941" w:type="dxa"/>
            <w:tcBorders>
              <w:top w:val="nil"/>
              <w:left w:val="nil"/>
              <w:bottom w:val="nil"/>
              <w:right w:val="nil"/>
            </w:tcBorders>
            <w:shd w:val="clear" w:color="000000" w:fill="FFFFFF"/>
            <w:noWrap/>
            <w:vAlign w:val="bottom"/>
            <w:hideMark/>
          </w:tcPr>
          <w:p w14:paraId="50EDD2EA" w14:textId="77777777" w:rsidR="00B533BE" w:rsidRPr="00846EEE" w:rsidRDefault="00B533BE" w:rsidP="00B533BE">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 </w:t>
            </w:r>
          </w:p>
        </w:tc>
        <w:tc>
          <w:tcPr>
            <w:tcW w:w="941" w:type="dxa"/>
            <w:tcBorders>
              <w:top w:val="nil"/>
              <w:left w:val="nil"/>
              <w:bottom w:val="nil"/>
              <w:right w:val="nil"/>
            </w:tcBorders>
            <w:shd w:val="clear" w:color="000000" w:fill="FFFFFF"/>
            <w:noWrap/>
            <w:vAlign w:val="bottom"/>
            <w:hideMark/>
          </w:tcPr>
          <w:p w14:paraId="4EC13F0A" w14:textId="77777777" w:rsidR="00B533BE" w:rsidRPr="00846EEE" w:rsidRDefault="00B533BE" w:rsidP="00B533BE">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 </w:t>
            </w:r>
          </w:p>
        </w:tc>
        <w:tc>
          <w:tcPr>
            <w:tcW w:w="941" w:type="dxa"/>
            <w:tcBorders>
              <w:top w:val="nil"/>
              <w:left w:val="nil"/>
              <w:bottom w:val="nil"/>
              <w:right w:val="nil"/>
            </w:tcBorders>
            <w:shd w:val="clear" w:color="000000" w:fill="FFFFFF"/>
            <w:noWrap/>
            <w:vAlign w:val="bottom"/>
            <w:hideMark/>
          </w:tcPr>
          <w:p w14:paraId="669C3461" w14:textId="4BDF0FF6" w:rsidR="00B533BE" w:rsidRPr="00846EEE" w:rsidRDefault="00B533BE" w:rsidP="00B533BE">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   </w:t>
            </w:r>
          </w:p>
        </w:tc>
      </w:tr>
      <w:tr w:rsidR="006447D8" w:rsidRPr="00551D5A" w14:paraId="0C6D52C4" w14:textId="77777777" w:rsidTr="00997EF7">
        <w:trPr>
          <w:trHeight w:val="251"/>
        </w:trPr>
        <w:tc>
          <w:tcPr>
            <w:tcW w:w="2694" w:type="dxa"/>
            <w:tcBorders>
              <w:top w:val="nil"/>
              <w:left w:val="nil"/>
              <w:bottom w:val="nil"/>
              <w:right w:val="nil"/>
            </w:tcBorders>
            <w:shd w:val="clear" w:color="000000" w:fill="FFFFFF"/>
            <w:vAlign w:val="center"/>
          </w:tcPr>
          <w:p w14:paraId="6785028B" w14:textId="72548B1E" w:rsidR="006447D8" w:rsidRPr="006447D8" w:rsidRDefault="006447D8" w:rsidP="00997EF7">
            <w:pPr>
              <w:spacing w:after="0" w:line="240" w:lineRule="auto"/>
              <w:ind w:hanging="105"/>
              <w:jc w:val="both"/>
              <w:rPr>
                <w:rFonts w:asciiTheme="minorHAnsi" w:hAnsiTheme="minorHAnsi" w:cstheme="minorHAnsi"/>
                <w:sz w:val="18"/>
                <w:szCs w:val="18"/>
                <w:lang w:val="en-US"/>
              </w:rPr>
            </w:pPr>
            <w:r>
              <w:rPr>
                <w:rFonts w:asciiTheme="minorHAnsi" w:hAnsiTheme="minorHAnsi" w:cstheme="minorHAnsi"/>
                <w:sz w:val="18"/>
                <w:szCs w:val="18"/>
                <w:lang w:val="en-US"/>
              </w:rPr>
              <w:t>Cash flow hedging movement</w:t>
            </w:r>
          </w:p>
        </w:tc>
        <w:tc>
          <w:tcPr>
            <w:tcW w:w="941" w:type="dxa"/>
            <w:tcBorders>
              <w:top w:val="nil"/>
              <w:left w:val="nil"/>
              <w:bottom w:val="nil"/>
              <w:right w:val="nil"/>
            </w:tcBorders>
            <w:shd w:val="clear" w:color="000000" w:fill="FFFFFF"/>
            <w:noWrap/>
            <w:vAlign w:val="bottom"/>
          </w:tcPr>
          <w:p w14:paraId="74BF80C2" w14:textId="1A8FF884" w:rsidR="006447D8" w:rsidRPr="006447D8" w:rsidRDefault="006447D8" w:rsidP="006447D8">
            <w:pPr>
              <w:spacing w:after="0" w:line="240" w:lineRule="auto"/>
              <w:jc w:val="right"/>
              <w:rPr>
                <w:rFonts w:asciiTheme="minorHAnsi" w:hAnsiTheme="minorHAnsi" w:cstheme="minorHAnsi"/>
                <w:sz w:val="18"/>
                <w:szCs w:val="18"/>
                <w:lang w:val="en-US"/>
              </w:rPr>
            </w:pPr>
            <w:r>
              <w:rPr>
                <w:rFonts w:asciiTheme="minorHAnsi" w:hAnsiTheme="minorHAnsi" w:cstheme="minorHAnsi"/>
                <w:sz w:val="18"/>
                <w:szCs w:val="18"/>
                <w:lang w:val="en-US"/>
              </w:rPr>
              <w:t>-</w:t>
            </w:r>
          </w:p>
        </w:tc>
        <w:tc>
          <w:tcPr>
            <w:tcW w:w="941" w:type="dxa"/>
            <w:tcBorders>
              <w:top w:val="nil"/>
              <w:left w:val="nil"/>
              <w:bottom w:val="nil"/>
              <w:right w:val="nil"/>
            </w:tcBorders>
            <w:shd w:val="clear" w:color="000000" w:fill="FFFFFF"/>
            <w:noWrap/>
            <w:vAlign w:val="bottom"/>
          </w:tcPr>
          <w:p w14:paraId="71BB92C0" w14:textId="3E76A86B" w:rsidR="006447D8" w:rsidRPr="006447D8" w:rsidRDefault="006447D8" w:rsidP="006447D8">
            <w:pPr>
              <w:spacing w:after="0" w:line="240" w:lineRule="auto"/>
              <w:jc w:val="right"/>
              <w:rPr>
                <w:rFonts w:asciiTheme="minorHAnsi" w:hAnsiTheme="minorHAnsi" w:cstheme="minorHAnsi"/>
                <w:sz w:val="18"/>
                <w:szCs w:val="18"/>
                <w:lang w:val="en-US"/>
              </w:rPr>
            </w:pPr>
            <w:r>
              <w:rPr>
                <w:rFonts w:asciiTheme="minorHAnsi" w:hAnsiTheme="minorHAnsi" w:cstheme="minorHAnsi"/>
                <w:sz w:val="18"/>
                <w:szCs w:val="18"/>
                <w:lang w:val="en-US"/>
              </w:rPr>
              <w:t>-</w:t>
            </w:r>
          </w:p>
        </w:tc>
        <w:tc>
          <w:tcPr>
            <w:tcW w:w="941" w:type="dxa"/>
            <w:tcBorders>
              <w:top w:val="nil"/>
              <w:left w:val="nil"/>
              <w:bottom w:val="nil"/>
              <w:right w:val="nil"/>
            </w:tcBorders>
            <w:shd w:val="clear" w:color="000000" w:fill="FFFFFF"/>
            <w:noWrap/>
            <w:vAlign w:val="bottom"/>
          </w:tcPr>
          <w:p w14:paraId="43F9CEC1" w14:textId="2C6BD9F5" w:rsidR="006447D8" w:rsidRPr="006447D8" w:rsidRDefault="006447D8" w:rsidP="006447D8">
            <w:pPr>
              <w:spacing w:after="0" w:line="240" w:lineRule="auto"/>
              <w:jc w:val="right"/>
              <w:rPr>
                <w:rFonts w:asciiTheme="minorHAnsi" w:hAnsiTheme="minorHAnsi" w:cstheme="minorHAnsi"/>
                <w:sz w:val="18"/>
                <w:szCs w:val="18"/>
                <w:lang w:val="en-US"/>
              </w:rPr>
            </w:pPr>
            <w:r>
              <w:rPr>
                <w:rFonts w:asciiTheme="minorHAnsi" w:hAnsiTheme="minorHAnsi" w:cstheme="minorHAnsi"/>
                <w:sz w:val="18"/>
                <w:szCs w:val="18"/>
                <w:lang w:val="en-US"/>
              </w:rPr>
              <w:t>-</w:t>
            </w:r>
          </w:p>
        </w:tc>
        <w:tc>
          <w:tcPr>
            <w:tcW w:w="941" w:type="dxa"/>
            <w:tcBorders>
              <w:top w:val="nil"/>
              <w:left w:val="nil"/>
              <w:bottom w:val="nil"/>
              <w:right w:val="nil"/>
            </w:tcBorders>
            <w:shd w:val="clear" w:color="000000" w:fill="FFFFFF"/>
            <w:noWrap/>
            <w:vAlign w:val="bottom"/>
          </w:tcPr>
          <w:p w14:paraId="617D9774" w14:textId="77377FA5" w:rsidR="006447D8" w:rsidRPr="006447D8" w:rsidRDefault="006447D8" w:rsidP="006447D8">
            <w:pPr>
              <w:spacing w:after="0" w:line="240" w:lineRule="auto"/>
              <w:jc w:val="right"/>
              <w:rPr>
                <w:rFonts w:asciiTheme="minorHAnsi" w:hAnsiTheme="minorHAnsi" w:cstheme="minorHAnsi"/>
                <w:sz w:val="18"/>
                <w:szCs w:val="18"/>
                <w:lang w:val="en-US"/>
              </w:rPr>
            </w:pPr>
            <w:r>
              <w:rPr>
                <w:rFonts w:asciiTheme="minorHAnsi" w:hAnsiTheme="minorHAnsi" w:cstheme="minorHAnsi"/>
                <w:sz w:val="18"/>
                <w:szCs w:val="18"/>
                <w:lang w:val="en-US"/>
              </w:rPr>
              <w:t>-</w:t>
            </w:r>
          </w:p>
        </w:tc>
        <w:tc>
          <w:tcPr>
            <w:tcW w:w="941" w:type="dxa"/>
            <w:tcBorders>
              <w:top w:val="nil"/>
              <w:left w:val="nil"/>
              <w:bottom w:val="nil"/>
              <w:right w:val="nil"/>
            </w:tcBorders>
            <w:shd w:val="clear" w:color="000000" w:fill="FFFFFF"/>
            <w:noWrap/>
            <w:vAlign w:val="bottom"/>
          </w:tcPr>
          <w:p w14:paraId="2A283913" w14:textId="4151F9E6" w:rsidR="006447D8" w:rsidRPr="006447D8" w:rsidDel="00E37CE5" w:rsidRDefault="006447D8" w:rsidP="006447D8">
            <w:pPr>
              <w:spacing w:after="0" w:line="240" w:lineRule="auto"/>
              <w:jc w:val="right"/>
              <w:rPr>
                <w:rFonts w:asciiTheme="minorHAnsi" w:hAnsiTheme="minorHAnsi" w:cstheme="minorHAnsi"/>
                <w:sz w:val="18"/>
                <w:szCs w:val="18"/>
                <w:lang w:val="en-US"/>
              </w:rPr>
            </w:pPr>
            <w:r>
              <w:rPr>
                <w:rFonts w:asciiTheme="minorHAnsi" w:hAnsiTheme="minorHAnsi" w:cstheme="minorHAnsi"/>
                <w:sz w:val="18"/>
                <w:szCs w:val="18"/>
                <w:lang w:val="en-US"/>
              </w:rPr>
              <w:t>(3,217)</w:t>
            </w:r>
          </w:p>
        </w:tc>
        <w:tc>
          <w:tcPr>
            <w:tcW w:w="941" w:type="dxa"/>
            <w:tcBorders>
              <w:top w:val="nil"/>
              <w:left w:val="nil"/>
              <w:bottom w:val="nil"/>
              <w:right w:val="nil"/>
            </w:tcBorders>
            <w:shd w:val="clear" w:color="000000" w:fill="FFFFFF"/>
            <w:noWrap/>
            <w:vAlign w:val="bottom"/>
          </w:tcPr>
          <w:p w14:paraId="64225203" w14:textId="31064F44" w:rsidR="006447D8" w:rsidRPr="006447D8" w:rsidRDefault="006447D8" w:rsidP="006447D8">
            <w:pPr>
              <w:spacing w:after="0" w:line="240" w:lineRule="auto"/>
              <w:jc w:val="right"/>
              <w:rPr>
                <w:rFonts w:asciiTheme="minorHAnsi" w:hAnsiTheme="minorHAnsi" w:cstheme="minorHAnsi"/>
                <w:sz w:val="18"/>
                <w:szCs w:val="18"/>
                <w:lang w:val="en-US"/>
              </w:rPr>
            </w:pPr>
            <w:r>
              <w:rPr>
                <w:rFonts w:asciiTheme="minorHAnsi" w:hAnsiTheme="minorHAnsi" w:cstheme="minorHAnsi"/>
                <w:sz w:val="18"/>
                <w:szCs w:val="18"/>
                <w:lang w:val="en-US"/>
              </w:rPr>
              <w:t>-</w:t>
            </w:r>
          </w:p>
        </w:tc>
        <w:tc>
          <w:tcPr>
            <w:tcW w:w="941" w:type="dxa"/>
            <w:tcBorders>
              <w:top w:val="nil"/>
              <w:left w:val="nil"/>
              <w:bottom w:val="nil"/>
              <w:right w:val="nil"/>
            </w:tcBorders>
            <w:shd w:val="clear" w:color="000000" w:fill="FFFFFF"/>
            <w:noWrap/>
            <w:vAlign w:val="bottom"/>
          </w:tcPr>
          <w:p w14:paraId="13B11B34" w14:textId="5BB59A98" w:rsidR="006447D8" w:rsidRPr="006447D8" w:rsidDel="001E4197" w:rsidRDefault="006447D8" w:rsidP="006447D8">
            <w:pPr>
              <w:spacing w:after="0" w:line="240" w:lineRule="auto"/>
              <w:jc w:val="right"/>
              <w:rPr>
                <w:rFonts w:asciiTheme="minorHAnsi" w:hAnsiTheme="minorHAnsi" w:cstheme="minorHAnsi"/>
                <w:sz w:val="18"/>
                <w:szCs w:val="18"/>
                <w:lang w:val="en-US"/>
              </w:rPr>
            </w:pPr>
            <w:r>
              <w:rPr>
                <w:rFonts w:asciiTheme="minorHAnsi" w:hAnsiTheme="minorHAnsi" w:cstheme="minorHAnsi"/>
                <w:sz w:val="18"/>
                <w:szCs w:val="18"/>
                <w:lang w:val="en-US"/>
              </w:rPr>
              <w:t>(3,217)</w:t>
            </w:r>
          </w:p>
        </w:tc>
      </w:tr>
      <w:tr w:rsidR="006E49CB" w:rsidRPr="00551D5A" w14:paraId="07C000B3" w14:textId="77777777" w:rsidTr="00997EF7">
        <w:trPr>
          <w:trHeight w:val="104"/>
        </w:trPr>
        <w:tc>
          <w:tcPr>
            <w:tcW w:w="2694" w:type="dxa"/>
            <w:tcBorders>
              <w:top w:val="single" w:sz="4" w:space="0" w:color="auto"/>
              <w:left w:val="nil"/>
              <w:bottom w:val="single" w:sz="4" w:space="0" w:color="auto"/>
              <w:right w:val="nil"/>
            </w:tcBorders>
            <w:shd w:val="clear" w:color="000000" w:fill="FFFFFF"/>
            <w:vAlign w:val="center"/>
            <w:hideMark/>
          </w:tcPr>
          <w:p w14:paraId="2BB41777" w14:textId="77777777" w:rsidR="00B533BE" w:rsidRPr="00846EEE" w:rsidRDefault="00B533BE" w:rsidP="00997EF7">
            <w:pPr>
              <w:spacing w:after="0" w:line="240" w:lineRule="auto"/>
              <w:ind w:left="-105"/>
              <w:rPr>
                <w:rFonts w:asciiTheme="minorHAnsi" w:hAnsiTheme="minorHAnsi" w:cstheme="minorHAnsi"/>
                <w:sz w:val="18"/>
                <w:szCs w:val="18"/>
              </w:rPr>
            </w:pPr>
            <w:r w:rsidRPr="00846EEE">
              <w:rPr>
                <w:rFonts w:asciiTheme="minorHAnsi" w:hAnsiTheme="minorHAnsi" w:cstheme="minorHAnsi"/>
                <w:sz w:val="18"/>
                <w:szCs w:val="18"/>
              </w:rPr>
              <w:t>Total comprehensive income for the period</w:t>
            </w:r>
          </w:p>
        </w:tc>
        <w:tc>
          <w:tcPr>
            <w:tcW w:w="941" w:type="dxa"/>
            <w:tcBorders>
              <w:top w:val="single" w:sz="4" w:space="0" w:color="auto"/>
              <w:left w:val="nil"/>
              <w:bottom w:val="single" w:sz="4" w:space="0" w:color="auto"/>
              <w:right w:val="nil"/>
            </w:tcBorders>
            <w:shd w:val="clear" w:color="000000" w:fill="FFFFFF"/>
            <w:noWrap/>
            <w:vAlign w:val="bottom"/>
            <w:hideMark/>
          </w:tcPr>
          <w:p w14:paraId="36F5080C" w14:textId="47743632" w:rsidR="00B533BE" w:rsidRPr="00846EEE" w:rsidRDefault="00B533BE" w:rsidP="00B533BE">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w:t>
            </w:r>
            <w:r w:rsidR="00591671">
              <w:rPr>
                <w:rFonts w:asciiTheme="minorHAnsi" w:hAnsiTheme="minorHAnsi" w:cstheme="minorHAnsi"/>
                <w:color w:val="000000"/>
                <w:sz w:val="18"/>
                <w:szCs w:val="18"/>
              </w:rPr>
              <w:t>-</w:t>
            </w:r>
            <w:r w:rsidR="00591671" w:rsidRPr="00846EEE">
              <w:rPr>
                <w:rFonts w:asciiTheme="minorHAnsi" w:hAnsiTheme="minorHAnsi" w:cstheme="minorHAnsi"/>
                <w:color w:val="000000"/>
                <w:sz w:val="18"/>
                <w:szCs w:val="18"/>
              </w:rPr>
              <w:t xml:space="preserve"> </w:t>
            </w:r>
          </w:p>
        </w:tc>
        <w:tc>
          <w:tcPr>
            <w:tcW w:w="941" w:type="dxa"/>
            <w:tcBorders>
              <w:top w:val="single" w:sz="4" w:space="0" w:color="auto"/>
              <w:left w:val="nil"/>
              <w:bottom w:val="single" w:sz="4" w:space="0" w:color="auto"/>
              <w:right w:val="nil"/>
            </w:tcBorders>
            <w:shd w:val="clear" w:color="000000" w:fill="FFFFFF"/>
            <w:noWrap/>
            <w:vAlign w:val="bottom"/>
            <w:hideMark/>
          </w:tcPr>
          <w:p w14:paraId="714289B3" w14:textId="504FF03C" w:rsidR="00B533BE" w:rsidRPr="00846EEE" w:rsidRDefault="00591671" w:rsidP="00B533BE">
            <w:pPr>
              <w:spacing w:after="0" w:line="240" w:lineRule="auto"/>
              <w:jc w:val="right"/>
              <w:rPr>
                <w:rFonts w:asciiTheme="minorHAnsi" w:hAnsiTheme="minorHAnsi" w:cstheme="minorHAnsi"/>
                <w:color w:val="000000"/>
                <w:sz w:val="18"/>
                <w:szCs w:val="18"/>
              </w:rPr>
            </w:pPr>
            <w:r>
              <w:rPr>
                <w:rFonts w:asciiTheme="minorHAnsi" w:hAnsiTheme="minorHAnsi" w:cstheme="minorHAnsi"/>
                <w:color w:val="000000"/>
                <w:sz w:val="18"/>
                <w:szCs w:val="18"/>
              </w:rPr>
              <w:t>-</w:t>
            </w:r>
            <w:r w:rsidR="00B533BE" w:rsidRPr="00846EEE">
              <w:rPr>
                <w:rFonts w:asciiTheme="minorHAnsi" w:hAnsiTheme="minorHAnsi" w:cstheme="minorHAnsi"/>
                <w:color w:val="000000"/>
                <w:sz w:val="18"/>
                <w:szCs w:val="18"/>
              </w:rPr>
              <w:t xml:space="preserve"> </w:t>
            </w:r>
          </w:p>
        </w:tc>
        <w:tc>
          <w:tcPr>
            <w:tcW w:w="941" w:type="dxa"/>
            <w:tcBorders>
              <w:top w:val="single" w:sz="4" w:space="0" w:color="auto"/>
              <w:left w:val="nil"/>
              <w:bottom w:val="single" w:sz="4" w:space="0" w:color="auto"/>
              <w:right w:val="nil"/>
            </w:tcBorders>
            <w:shd w:val="clear" w:color="000000" w:fill="FFFFFF"/>
            <w:noWrap/>
            <w:vAlign w:val="bottom"/>
            <w:hideMark/>
          </w:tcPr>
          <w:p w14:paraId="20A993F6" w14:textId="25BFFFFF" w:rsidR="00B533BE" w:rsidRPr="00846EEE" w:rsidRDefault="00B533BE" w:rsidP="00B533BE">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w:t>
            </w:r>
            <w:r w:rsidR="00591671">
              <w:rPr>
                <w:rFonts w:asciiTheme="minorHAnsi" w:hAnsiTheme="minorHAnsi" w:cstheme="minorHAnsi"/>
                <w:color w:val="000000"/>
                <w:sz w:val="18"/>
                <w:szCs w:val="18"/>
              </w:rPr>
              <w:t>-</w:t>
            </w:r>
          </w:p>
        </w:tc>
        <w:tc>
          <w:tcPr>
            <w:tcW w:w="941" w:type="dxa"/>
            <w:tcBorders>
              <w:top w:val="single" w:sz="4" w:space="0" w:color="auto"/>
              <w:left w:val="nil"/>
              <w:bottom w:val="single" w:sz="4" w:space="0" w:color="auto"/>
              <w:right w:val="nil"/>
            </w:tcBorders>
            <w:shd w:val="clear" w:color="000000" w:fill="FFFFFF"/>
            <w:noWrap/>
            <w:vAlign w:val="bottom"/>
            <w:hideMark/>
          </w:tcPr>
          <w:p w14:paraId="249E08A1" w14:textId="51CC9714" w:rsidR="00B533BE" w:rsidRPr="00846EEE" w:rsidRDefault="00591671" w:rsidP="00B533BE">
            <w:pPr>
              <w:spacing w:after="0" w:line="240" w:lineRule="auto"/>
              <w:jc w:val="right"/>
              <w:rPr>
                <w:rFonts w:asciiTheme="minorHAnsi" w:hAnsiTheme="minorHAnsi" w:cstheme="minorHAnsi"/>
                <w:color w:val="000000"/>
                <w:sz w:val="18"/>
                <w:szCs w:val="18"/>
              </w:rPr>
            </w:pPr>
            <w:r>
              <w:rPr>
                <w:rFonts w:asciiTheme="minorHAnsi" w:hAnsiTheme="minorHAnsi" w:cstheme="minorHAnsi"/>
                <w:color w:val="000000"/>
                <w:sz w:val="18"/>
                <w:szCs w:val="18"/>
              </w:rPr>
              <w:t>-</w:t>
            </w:r>
            <w:r w:rsidR="00B533BE" w:rsidRPr="00846EEE">
              <w:rPr>
                <w:rFonts w:asciiTheme="minorHAnsi" w:hAnsiTheme="minorHAnsi" w:cstheme="minorHAnsi"/>
                <w:color w:val="000000"/>
                <w:sz w:val="18"/>
                <w:szCs w:val="18"/>
              </w:rPr>
              <w:t xml:space="preserve"> </w:t>
            </w:r>
          </w:p>
        </w:tc>
        <w:tc>
          <w:tcPr>
            <w:tcW w:w="941" w:type="dxa"/>
            <w:tcBorders>
              <w:top w:val="single" w:sz="4" w:space="0" w:color="auto"/>
              <w:left w:val="nil"/>
              <w:bottom w:val="single" w:sz="4" w:space="0" w:color="auto"/>
              <w:right w:val="nil"/>
            </w:tcBorders>
            <w:shd w:val="clear" w:color="000000" w:fill="FFFFFF"/>
            <w:noWrap/>
            <w:vAlign w:val="bottom"/>
            <w:hideMark/>
          </w:tcPr>
          <w:p w14:paraId="5DBDCE2C" w14:textId="30CCB202" w:rsidR="00B533BE" w:rsidRPr="00846EEE" w:rsidRDefault="00591671" w:rsidP="00B533BE">
            <w:pPr>
              <w:spacing w:after="0" w:line="240" w:lineRule="auto"/>
              <w:jc w:val="right"/>
              <w:rPr>
                <w:rFonts w:asciiTheme="minorHAnsi" w:hAnsiTheme="minorHAnsi" w:cstheme="minorHAnsi"/>
                <w:color w:val="000000"/>
                <w:sz w:val="18"/>
                <w:szCs w:val="18"/>
              </w:rPr>
            </w:pPr>
            <w:r>
              <w:rPr>
                <w:rFonts w:asciiTheme="minorHAnsi" w:hAnsiTheme="minorHAnsi" w:cstheme="minorHAnsi"/>
                <w:color w:val="000000"/>
                <w:sz w:val="18"/>
                <w:szCs w:val="18"/>
              </w:rPr>
              <w:t>(3,217)</w:t>
            </w:r>
            <w:r w:rsidR="00B533BE" w:rsidRPr="00846EEE">
              <w:rPr>
                <w:rFonts w:asciiTheme="minorHAnsi" w:hAnsiTheme="minorHAnsi" w:cstheme="minorHAnsi"/>
                <w:color w:val="000000"/>
                <w:sz w:val="18"/>
                <w:szCs w:val="18"/>
              </w:rPr>
              <w:t xml:space="preserve"> </w:t>
            </w:r>
          </w:p>
        </w:tc>
        <w:tc>
          <w:tcPr>
            <w:tcW w:w="941" w:type="dxa"/>
            <w:tcBorders>
              <w:top w:val="single" w:sz="4" w:space="0" w:color="auto"/>
              <w:left w:val="nil"/>
              <w:bottom w:val="single" w:sz="4" w:space="0" w:color="auto"/>
              <w:right w:val="nil"/>
            </w:tcBorders>
            <w:shd w:val="clear" w:color="000000" w:fill="FFFFFF"/>
            <w:noWrap/>
            <w:vAlign w:val="bottom"/>
            <w:hideMark/>
          </w:tcPr>
          <w:p w14:paraId="559B44FA" w14:textId="37D5C51A" w:rsidR="00B533BE" w:rsidRPr="00846EEE" w:rsidRDefault="00B533BE" w:rsidP="00B533BE">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w:t>
            </w:r>
            <w:r w:rsidR="00591671">
              <w:rPr>
                <w:rFonts w:asciiTheme="minorHAnsi" w:hAnsiTheme="minorHAnsi" w:cstheme="minorHAnsi"/>
                <w:color w:val="000000"/>
                <w:sz w:val="18"/>
                <w:szCs w:val="18"/>
              </w:rPr>
              <w:t>7,280</w:t>
            </w:r>
            <w:r w:rsidRPr="00846EEE">
              <w:rPr>
                <w:rFonts w:asciiTheme="minorHAnsi" w:hAnsiTheme="minorHAnsi" w:cstheme="minorHAnsi"/>
                <w:color w:val="000000"/>
                <w:sz w:val="18"/>
                <w:szCs w:val="18"/>
              </w:rPr>
              <w:t xml:space="preserve"> </w:t>
            </w:r>
          </w:p>
        </w:tc>
        <w:tc>
          <w:tcPr>
            <w:tcW w:w="941" w:type="dxa"/>
            <w:tcBorders>
              <w:top w:val="single" w:sz="4" w:space="0" w:color="auto"/>
              <w:left w:val="nil"/>
              <w:bottom w:val="single" w:sz="4" w:space="0" w:color="auto"/>
              <w:right w:val="nil"/>
            </w:tcBorders>
            <w:shd w:val="clear" w:color="000000" w:fill="FFFFFF"/>
            <w:noWrap/>
            <w:vAlign w:val="bottom"/>
            <w:hideMark/>
          </w:tcPr>
          <w:p w14:paraId="40B2003D" w14:textId="1EF75023" w:rsidR="00B533BE" w:rsidRPr="00846EEE" w:rsidRDefault="00B533BE" w:rsidP="00B533BE">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w:t>
            </w:r>
            <w:r w:rsidR="00591671">
              <w:rPr>
                <w:rFonts w:asciiTheme="minorHAnsi" w:hAnsiTheme="minorHAnsi" w:cstheme="minorHAnsi"/>
                <w:color w:val="000000"/>
                <w:sz w:val="18"/>
                <w:szCs w:val="18"/>
              </w:rPr>
              <w:t>4,063</w:t>
            </w:r>
            <w:r w:rsidRPr="00846EEE">
              <w:rPr>
                <w:rFonts w:asciiTheme="minorHAnsi" w:hAnsiTheme="minorHAnsi" w:cstheme="minorHAnsi"/>
                <w:color w:val="000000"/>
                <w:sz w:val="18"/>
                <w:szCs w:val="18"/>
              </w:rPr>
              <w:t xml:space="preserve"> </w:t>
            </w:r>
          </w:p>
        </w:tc>
      </w:tr>
      <w:tr w:rsidR="007D3559" w:rsidRPr="00551D5A" w14:paraId="65AADBF1" w14:textId="77777777" w:rsidTr="00997EF7">
        <w:trPr>
          <w:trHeight w:val="104"/>
        </w:trPr>
        <w:tc>
          <w:tcPr>
            <w:tcW w:w="2694" w:type="dxa"/>
            <w:tcBorders>
              <w:top w:val="nil"/>
              <w:left w:val="nil"/>
              <w:bottom w:val="nil"/>
              <w:right w:val="nil"/>
            </w:tcBorders>
            <w:shd w:val="clear" w:color="000000" w:fill="FFFFFF"/>
            <w:vAlign w:val="center"/>
            <w:hideMark/>
          </w:tcPr>
          <w:p w14:paraId="6BE79304" w14:textId="77777777" w:rsidR="00B533BE" w:rsidRPr="00846EEE" w:rsidRDefault="00B533BE" w:rsidP="00997EF7">
            <w:pPr>
              <w:spacing w:after="0" w:line="240" w:lineRule="auto"/>
              <w:ind w:hanging="105"/>
              <w:jc w:val="both"/>
              <w:rPr>
                <w:rFonts w:asciiTheme="minorHAnsi" w:hAnsiTheme="minorHAnsi" w:cstheme="minorHAnsi"/>
                <w:i/>
                <w:iCs/>
                <w:sz w:val="18"/>
                <w:szCs w:val="18"/>
              </w:rPr>
            </w:pPr>
            <w:r w:rsidRPr="00846EEE">
              <w:rPr>
                <w:rFonts w:asciiTheme="minorHAnsi" w:hAnsiTheme="minorHAnsi" w:cstheme="minorHAnsi"/>
                <w:i/>
                <w:iCs/>
                <w:sz w:val="18"/>
                <w:szCs w:val="18"/>
              </w:rPr>
              <w:t>Transactions with shareholders:</w:t>
            </w:r>
          </w:p>
        </w:tc>
        <w:tc>
          <w:tcPr>
            <w:tcW w:w="941" w:type="dxa"/>
            <w:tcBorders>
              <w:top w:val="nil"/>
              <w:left w:val="nil"/>
              <w:bottom w:val="nil"/>
              <w:right w:val="nil"/>
            </w:tcBorders>
            <w:shd w:val="clear" w:color="000000" w:fill="FFFFFF"/>
            <w:noWrap/>
            <w:vAlign w:val="bottom"/>
          </w:tcPr>
          <w:p w14:paraId="2DFFDEF0" w14:textId="10CA1274" w:rsidR="00B533BE" w:rsidRPr="00846EEE" w:rsidRDefault="00B533BE" w:rsidP="00B533BE">
            <w:pPr>
              <w:spacing w:after="0" w:line="240" w:lineRule="auto"/>
              <w:jc w:val="right"/>
              <w:rPr>
                <w:rFonts w:asciiTheme="minorHAnsi" w:hAnsiTheme="minorHAnsi" w:cstheme="minorHAnsi"/>
                <w:color w:val="000000"/>
                <w:sz w:val="18"/>
                <w:szCs w:val="18"/>
              </w:rPr>
            </w:pPr>
          </w:p>
        </w:tc>
        <w:tc>
          <w:tcPr>
            <w:tcW w:w="941" w:type="dxa"/>
            <w:tcBorders>
              <w:top w:val="nil"/>
              <w:left w:val="nil"/>
              <w:bottom w:val="nil"/>
              <w:right w:val="nil"/>
            </w:tcBorders>
            <w:shd w:val="clear" w:color="000000" w:fill="FFFFFF"/>
            <w:noWrap/>
            <w:vAlign w:val="bottom"/>
          </w:tcPr>
          <w:p w14:paraId="4C1878F9" w14:textId="3332A769" w:rsidR="00B533BE" w:rsidRPr="00846EEE" w:rsidRDefault="00B533BE" w:rsidP="00B533BE">
            <w:pPr>
              <w:spacing w:after="0" w:line="240" w:lineRule="auto"/>
              <w:jc w:val="right"/>
              <w:rPr>
                <w:rFonts w:asciiTheme="minorHAnsi" w:hAnsiTheme="minorHAnsi" w:cstheme="minorHAnsi"/>
                <w:color w:val="000000"/>
                <w:sz w:val="18"/>
                <w:szCs w:val="18"/>
              </w:rPr>
            </w:pPr>
          </w:p>
        </w:tc>
        <w:tc>
          <w:tcPr>
            <w:tcW w:w="941" w:type="dxa"/>
            <w:tcBorders>
              <w:top w:val="nil"/>
              <w:left w:val="nil"/>
              <w:bottom w:val="nil"/>
              <w:right w:val="nil"/>
            </w:tcBorders>
            <w:shd w:val="clear" w:color="000000" w:fill="FFFFFF"/>
            <w:noWrap/>
            <w:vAlign w:val="bottom"/>
          </w:tcPr>
          <w:p w14:paraId="61E5D5DA" w14:textId="394D349F" w:rsidR="00B533BE" w:rsidRPr="00846EEE" w:rsidRDefault="00B533BE" w:rsidP="00B533BE">
            <w:pPr>
              <w:spacing w:after="0" w:line="240" w:lineRule="auto"/>
              <w:jc w:val="right"/>
              <w:rPr>
                <w:rFonts w:asciiTheme="minorHAnsi" w:hAnsiTheme="minorHAnsi" w:cstheme="minorHAnsi"/>
                <w:color w:val="000000"/>
                <w:sz w:val="18"/>
                <w:szCs w:val="18"/>
              </w:rPr>
            </w:pPr>
          </w:p>
        </w:tc>
        <w:tc>
          <w:tcPr>
            <w:tcW w:w="941" w:type="dxa"/>
            <w:tcBorders>
              <w:top w:val="nil"/>
              <w:left w:val="nil"/>
              <w:bottom w:val="nil"/>
              <w:right w:val="nil"/>
            </w:tcBorders>
            <w:shd w:val="clear" w:color="000000" w:fill="FFFFFF"/>
            <w:noWrap/>
            <w:vAlign w:val="bottom"/>
          </w:tcPr>
          <w:p w14:paraId="4949ED87" w14:textId="61E88A8E" w:rsidR="00B533BE" w:rsidRPr="00846EEE" w:rsidRDefault="00B533BE" w:rsidP="00B533BE">
            <w:pPr>
              <w:spacing w:after="0" w:line="240" w:lineRule="auto"/>
              <w:jc w:val="right"/>
              <w:rPr>
                <w:rFonts w:asciiTheme="minorHAnsi" w:hAnsiTheme="minorHAnsi" w:cstheme="minorHAnsi"/>
                <w:color w:val="000000"/>
                <w:sz w:val="18"/>
                <w:szCs w:val="18"/>
              </w:rPr>
            </w:pPr>
          </w:p>
        </w:tc>
        <w:tc>
          <w:tcPr>
            <w:tcW w:w="941" w:type="dxa"/>
            <w:tcBorders>
              <w:top w:val="nil"/>
              <w:left w:val="nil"/>
              <w:bottom w:val="nil"/>
              <w:right w:val="nil"/>
            </w:tcBorders>
            <w:shd w:val="clear" w:color="000000" w:fill="FFFFFF"/>
            <w:noWrap/>
            <w:vAlign w:val="bottom"/>
          </w:tcPr>
          <w:p w14:paraId="342A2C03" w14:textId="31185EC6" w:rsidR="00B533BE" w:rsidRPr="00846EEE" w:rsidRDefault="00B533BE" w:rsidP="00B533BE">
            <w:pPr>
              <w:spacing w:after="0" w:line="240" w:lineRule="auto"/>
              <w:jc w:val="right"/>
              <w:rPr>
                <w:rFonts w:asciiTheme="minorHAnsi" w:hAnsiTheme="minorHAnsi" w:cstheme="minorHAnsi"/>
                <w:color w:val="000000"/>
                <w:sz w:val="18"/>
                <w:szCs w:val="18"/>
              </w:rPr>
            </w:pPr>
          </w:p>
        </w:tc>
        <w:tc>
          <w:tcPr>
            <w:tcW w:w="941" w:type="dxa"/>
            <w:tcBorders>
              <w:top w:val="nil"/>
              <w:left w:val="nil"/>
              <w:bottom w:val="nil"/>
              <w:right w:val="nil"/>
            </w:tcBorders>
            <w:shd w:val="clear" w:color="000000" w:fill="FFFFFF"/>
            <w:noWrap/>
            <w:vAlign w:val="bottom"/>
          </w:tcPr>
          <w:p w14:paraId="50E72C01" w14:textId="0EF8AF12" w:rsidR="00B533BE" w:rsidRPr="00846EEE" w:rsidRDefault="00B533BE" w:rsidP="00B533BE">
            <w:pPr>
              <w:spacing w:after="0" w:line="240" w:lineRule="auto"/>
              <w:jc w:val="right"/>
              <w:rPr>
                <w:rFonts w:asciiTheme="minorHAnsi" w:hAnsiTheme="minorHAnsi" w:cstheme="minorHAnsi"/>
                <w:color w:val="000000"/>
                <w:sz w:val="18"/>
                <w:szCs w:val="18"/>
              </w:rPr>
            </w:pPr>
          </w:p>
        </w:tc>
        <w:tc>
          <w:tcPr>
            <w:tcW w:w="941" w:type="dxa"/>
            <w:tcBorders>
              <w:top w:val="nil"/>
              <w:left w:val="nil"/>
              <w:bottom w:val="nil"/>
              <w:right w:val="nil"/>
            </w:tcBorders>
            <w:shd w:val="clear" w:color="000000" w:fill="FFFFFF"/>
            <w:noWrap/>
            <w:vAlign w:val="bottom"/>
          </w:tcPr>
          <w:p w14:paraId="4F90160D" w14:textId="7560F08C" w:rsidR="00B533BE" w:rsidRPr="00846EEE" w:rsidRDefault="00B533BE" w:rsidP="00B533BE">
            <w:pPr>
              <w:spacing w:after="0" w:line="240" w:lineRule="auto"/>
              <w:jc w:val="right"/>
              <w:rPr>
                <w:rFonts w:asciiTheme="minorHAnsi" w:hAnsiTheme="minorHAnsi" w:cstheme="minorHAnsi"/>
                <w:color w:val="000000"/>
                <w:sz w:val="18"/>
                <w:szCs w:val="18"/>
              </w:rPr>
            </w:pPr>
          </w:p>
        </w:tc>
      </w:tr>
      <w:tr w:rsidR="006447D8" w:rsidRPr="00551D5A" w14:paraId="5857C031" w14:textId="77777777" w:rsidTr="00997EF7">
        <w:trPr>
          <w:trHeight w:val="104"/>
        </w:trPr>
        <w:tc>
          <w:tcPr>
            <w:tcW w:w="2694" w:type="dxa"/>
            <w:tcBorders>
              <w:top w:val="nil"/>
              <w:left w:val="nil"/>
              <w:bottom w:val="nil"/>
              <w:right w:val="nil"/>
            </w:tcBorders>
            <w:shd w:val="clear" w:color="000000" w:fill="FFFFFF"/>
            <w:vAlign w:val="center"/>
          </w:tcPr>
          <w:p w14:paraId="0D1615B7" w14:textId="702A4DC3" w:rsidR="006447D8" w:rsidRPr="00846EEE" w:rsidRDefault="006447D8" w:rsidP="00997EF7">
            <w:pPr>
              <w:spacing w:after="0" w:line="240" w:lineRule="auto"/>
              <w:ind w:hanging="105"/>
              <w:jc w:val="both"/>
              <w:rPr>
                <w:rFonts w:asciiTheme="minorHAnsi" w:hAnsiTheme="minorHAnsi" w:cstheme="minorHAnsi"/>
                <w:sz w:val="18"/>
                <w:szCs w:val="18"/>
                <w:lang w:val="en-US"/>
              </w:rPr>
            </w:pPr>
            <w:r>
              <w:rPr>
                <w:rFonts w:asciiTheme="minorHAnsi" w:hAnsiTheme="minorHAnsi" w:cstheme="minorHAnsi"/>
                <w:sz w:val="18"/>
                <w:szCs w:val="18"/>
                <w:lang w:val="en-US"/>
              </w:rPr>
              <w:t>Dividends paid</w:t>
            </w:r>
          </w:p>
        </w:tc>
        <w:tc>
          <w:tcPr>
            <w:tcW w:w="941" w:type="dxa"/>
            <w:tcBorders>
              <w:top w:val="nil"/>
              <w:left w:val="nil"/>
              <w:bottom w:val="nil"/>
              <w:right w:val="nil"/>
            </w:tcBorders>
            <w:shd w:val="clear" w:color="000000" w:fill="FFFFFF"/>
            <w:noWrap/>
            <w:vAlign w:val="bottom"/>
          </w:tcPr>
          <w:p w14:paraId="234BD0B1" w14:textId="45D11F30" w:rsidR="006447D8" w:rsidRPr="00846EEE" w:rsidRDefault="006447D8" w:rsidP="00B533BE">
            <w:pPr>
              <w:spacing w:after="0" w:line="240" w:lineRule="auto"/>
              <w:jc w:val="right"/>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941" w:type="dxa"/>
            <w:tcBorders>
              <w:top w:val="nil"/>
              <w:left w:val="nil"/>
              <w:bottom w:val="nil"/>
              <w:right w:val="nil"/>
            </w:tcBorders>
            <w:shd w:val="clear" w:color="000000" w:fill="FFFFFF"/>
            <w:noWrap/>
            <w:vAlign w:val="bottom"/>
          </w:tcPr>
          <w:p w14:paraId="2E91ED85" w14:textId="60AEEE06" w:rsidR="006447D8" w:rsidRPr="00846EEE" w:rsidRDefault="006447D8" w:rsidP="00B533BE">
            <w:pPr>
              <w:spacing w:after="0" w:line="240" w:lineRule="auto"/>
              <w:jc w:val="right"/>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941" w:type="dxa"/>
            <w:tcBorders>
              <w:top w:val="nil"/>
              <w:left w:val="nil"/>
              <w:bottom w:val="nil"/>
              <w:right w:val="nil"/>
            </w:tcBorders>
            <w:shd w:val="clear" w:color="000000" w:fill="FFFFFF"/>
            <w:noWrap/>
            <w:vAlign w:val="bottom"/>
          </w:tcPr>
          <w:p w14:paraId="2F51CB47" w14:textId="524E86A2" w:rsidR="006447D8" w:rsidRPr="00846EEE" w:rsidRDefault="006447D8" w:rsidP="00B533BE">
            <w:pPr>
              <w:spacing w:after="0" w:line="240" w:lineRule="auto"/>
              <w:jc w:val="right"/>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941" w:type="dxa"/>
            <w:tcBorders>
              <w:top w:val="nil"/>
              <w:left w:val="nil"/>
              <w:bottom w:val="nil"/>
              <w:right w:val="nil"/>
            </w:tcBorders>
            <w:shd w:val="clear" w:color="000000" w:fill="FFFFFF"/>
            <w:noWrap/>
            <w:vAlign w:val="bottom"/>
          </w:tcPr>
          <w:p w14:paraId="6FF032F7" w14:textId="6D769DBA" w:rsidR="006447D8" w:rsidRPr="00846EEE" w:rsidRDefault="006447D8" w:rsidP="00B533BE">
            <w:pPr>
              <w:spacing w:after="0" w:line="240" w:lineRule="auto"/>
              <w:jc w:val="right"/>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941" w:type="dxa"/>
            <w:tcBorders>
              <w:top w:val="nil"/>
              <w:left w:val="nil"/>
              <w:bottom w:val="nil"/>
              <w:right w:val="nil"/>
            </w:tcBorders>
            <w:shd w:val="clear" w:color="000000" w:fill="FFFFFF"/>
            <w:noWrap/>
            <w:vAlign w:val="bottom"/>
          </w:tcPr>
          <w:p w14:paraId="6CE01534" w14:textId="667259B2" w:rsidR="006447D8" w:rsidRPr="00846EEE" w:rsidRDefault="006447D8" w:rsidP="00B533BE">
            <w:pPr>
              <w:spacing w:after="0" w:line="240" w:lineRule="auto"/>
              <w:jc w:val="right"/>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941" w:type="dxa"/>
            <w:tcBorders>
              <w:top w:val="nil"/>
              <w:left w:val="nil"/>
              <w:bottom w:val="nil"/>
              <w:right w:val="nil"/>
            </w:tcBorders>
            <w:shd w:val="clear" w:color="000000" w:fill="FFFFFF"/>
            <w:noWrap/>
            <w:vAlign w:val="bottom"/>
          </w:tcPr>
          <w:p w14:paraId="6B9A663F" w14:textId="56778713" w:rsidR="006447D8" w:rsidRPr="00846EEE" w:rsidDel="00591671" w:rsidRDefault="006447D8" w:rsidP="00B533BE">
            <w:pPr>
              <w:spacing w:after="0" w:line="240" w:lineRule="auto"/>
              <w:jc w:val="right"/>
              <w:rPr>
                <w:rFonts w:asciiTheme="minorHAnsi" w:hAnsiTheme="minorHAnsi" w:cstheme="minorHAnsi"/>
                <w:color w:val="000000"/>
                <w:sz w:val="18"/>
                <w:szCs w:val="18"/>
              </w:rPr>
            </w:pPr>
            <w:r>
              <w:rPr>
                <w:rFonts w:asciiTheme="minorHAnsi" w:hAnsiTheme="minorHAnsi" w:cstheme="minorHAnsi"/>
                <w:color w:val="000000"/>
                <w:sz w:val="18"/>
                <w:szCs w:val="18"/>
              </w:rPr>
              <w:t>(4,157)</w:t>
            </w:r>
          </w:p>
        </w:tc>
        <w:tc>
          <w:tcPr>
            <w:tcW w:w="941" w:type="dxa"/>
            <w:tcBorders>
              <w:top w:val="nil"/>
              <w:left w:val="nil"/>
              <w:bottom w:val="nil"/>
              <w:right w:val="nil"/>
            </w:tcBorders>
            <w:shd w:val="clear" w:color="000000" w:fill="FFFFFF"/>
            <w:noWrap/>
            <w:vAlign w:val="bottom"/>
          </w:tcPr>
          <w:p w14:paraId="1D51708E" w14:textId="18EAA4A8" w:rsidR="006447D8" w:rsidRPr="00846EEE" w:rsidRDefault="006447D8" w:rsidP="00B533BE">
            <w:pPr>
              <w:spacing w:after="0" w:line="240" w:lineRule="auto"/>
              <w:jc w:val="right"/>
              <w:rPr>
                <w:rFonts w:asciiTheme="minorHAnsi" w:hAnsiTheme="minorHAnsi" w:cstheme="minorHAnsi"/>
                <w:color w:val="000000"/>
                <w:sz w:val="18"/>
                <w:szCs w:val="18"/>
              </w:rPr>
            </w:pPr>
            <w:r>
              <w:rPr>
                <w:rFonts w:asciiTheme="minorHAnsi" w:hAnsiTheme="minorHAnsi" w:cstheme="minorHAnsi"/>
                <w:color w:val="000000"/>
                <w:sz w:val="18"/>
                <w:szCs w:val="18"/>
              </w:rPr>
              <w:t>(4,157)</w:t>
            </w:r>
          </w:p>
        </w:tc>
      </w:tr>
      <w:tr w:rsidR="006447D8" w:rsidRPr="00551D5A" w14:paraId="79210169" w14:textId="77777777" w:rsidTr="00997EF7">
        <w:trPr>
          <w:trHeight w:val="104"/>
        </w:trPr>
        <w:tc>
          <w:tcPr>
            <w:tcW w:w="2694" w:type="dxa"/>
            <w:tcBorders>
              <w:top w:val="nil"/>
              <w:left w:val="nil"/>
              <w:bottom w:val="nil"/>
              <w:right w:val="nil"/>
            </w:tcBorders>
            <w:shd w:val="clear" w:color="000000" w:fill="FFFFFF"/>
            <w:vAlign w:val="center"/>
          </w:tcPr>
          <w:p w14:paraId="5FB8A77C" w14:textId="7876B37D" w:rsidR="006447D8" w:rsidRPr="00846EEE" w:rsidRDefault="006447D8" w:rsidP="00997EF7">
            <w:pPr>
              <w:spacing w:after="0" w:line="240" w:lineRule="auto"/>
              <w:ind w:hanging="105"/>
              <w:jc w:val="both"/>
              <w:rPr>
                <w:rFonts w:asciiTheme="minorHAnsi" w:hAnsiTheme="minorHAnsi" w:cstheme="minorHAnsi"/>
                <w:sz w:val="18"/>
                <w:szCs w:val="18"/>
                <w:lang w:val="en-US"/>
              </w:rPr>
            </w:pPr>
            <w:r>
              <w:rPr>
                <w:rFonts w:asciiTheme="minorHAnsi" w:hAnsiTheme="minorHAnsi" w:cstheme="minorHAnsi"/>
                <w:sz w:val="18"/>
                <w:szCs w:val="18"/>
                <w:lang w:val="en-US"/>
              </w:rPr>
              <w:t>Share-based payments</w:t>
            </w:r>
            <w:r w:rsidR="000B12E1">
              <w:rPr>
                <w:rFonts w:asciiTheme="minorHAnsi" w:hAnsiTheme="minorHAnsi" w:cstheme="minorHAnsi"/>
                <w:sz w:val="18"/>
                <w:szCs w:val="18"/>
                <w:lang w:val="en-US"/>
              </w:rPr>
              <w:t xml:space="preserve"> charge</w:t>
            </w:r>
          </w:p>
        </w:tc>
        <w:tc>
          <w:tcPr>
            <w:tcW w:w="941" w:type="dxa"/>
            <w:tcBorders>
              <w:top w:val="nil"/>
              <w:left w:val="nil"/>
              <w:bottom w:val="nil"/>
              <w:right w:val="nil"/>
            </w:tcBorders>
            <w:shd w:val="clear" w:color="000000" w:fill="FFFFFF"/>
            <w:noWrap/>
            <w:vAlign w:val="bottom"/>
          </w:tcPr>
          <w:p w14:paraId="49FE2247" w14:textId="59CE276D" w:rsidR="006447D8" w:rsidRPr="00846EEE" w:rsidRDefault="006447D8" w:rsidP="00B533BE">
            <w:pPr>
              <w:spacing w:after="0" w:line="240" w:lineRule="auto"/>
              <w:jc w:val="right"/>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941" w:type="dxa"/>
            <w:tcBorders>
              <w:top w:val="nil"/>
              <w:left w:val="nil"/>
              <w:bottom w:val="nil"/>
              <w:right w:val="nil"/>
            </w:tcBorders>
            <w:shd w:val="clear" w:color="000000" w:fill="FFFFFF"/>
            <w:noWrap/>
            <w:vAlign w:val="bottom"/>
          </w:tcPr>
          <w:p w14:paraId="3575DCA7" w14:textId="107BBD92" w:rsidR="006447D8" w:rsidRPr="00846EEE" w:rsidRDefault="006447D8" w:rsidP="00B533BE">
            <w:pPr>
              <w:spacing w:after="0" w:line="240" w:lineRule="auto"/>
              <w:jc w:val="right"/>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941" w:type="dxa"/>
            <w:tcBorders>
              <w:top w:val="nil"/>
              <w:left w:val="nil"/>
              <w:bottom w:val="nil"/>
              <w:right w:val="nil"/>
            </w:tcBorders>
            <w:shd w:val="clear" w:color="000000" w:fill="FFFFFF"/>
            <w:noWrap/>
            <w:vAlign w:val="bottom"/>
          </w:tcPr>
          <w:p w14:paraId="059ECADD" w14:textId="0E9D427F" w:rsidR="006447D8" w:rsidRPr="00846EEE" w:rsidRDefault="006447D8" w:rsidP="00B533BE">
            <w:pPr>
              <w:spacing w:after="0" w:line="240" w:lineRule="auto"/>
              <w:jc w:val="right"/>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941" w:type="dxa"/>
            <w:tcBorders>
              <w:top w:val="nil"/>
              <w:left w:val="nil"/>
              <w:bottom w:val="nil"/>
              <w:right w:val="nil"/>
            </w:tcBorders>
            <w:shd w:val="clear" w:color="000000" w:fill="FFFFFF"/>
            <w:noWrap/>
            <w:vAlign w:val="bottom"/>
          </w:tcPr>
          <w:p w14:paraId="37D92BBF" w14:textId="78EDF939" w:rsidR="006447D8" w:rsidRPr="00846EEE" w:rsidDel="00591671" w:rsidRDefault="006447D8" w:rsidP="00B533BE">
            <w:pPr>
              <w:spacing w:after="0" w:line="240" w:lineRule="auto"/>
              <w:jc w:val="right"/>
              <w:rPr>
                <w:rFonts w:asciiTheme="minorHAnsi" w:hAnsiTheme="minorHAnsi" w:cstheme="minorHAnsi"/>
                <w:color w:val="000000"/>
                <w:sz w:val="18"/>
                <w:szCs w:val="18"/>
              </w:rPr>
            </w:pPr>
            <w:r>
              <w:rPr>
                <w:rFonts w:asciiTheme="minorHAnsi" w:hAnsiTheme="minorHAnsi" w:cstheme="minorHAnsi"/>
                <w:color w:val="000000"/>
                <w:sz w:val="18"/>
                <w:szCs w:val="18"/>
              </w:rPr>
              <w:t>128</w:t>
            </w:r>
          </w:p>
        </w:tc>
        <w:tc>
          <w:tcPr>
            <w:tcW w:w="941" w:type="dxa"/>
            <w:tcBorders>
              <w:top w:val="nil"/>
              <w:left w:val="nil"/>
              <w:bottom w:val="nil"/>
              <w:right w:val="nil"/>
            </w:tcBorders>
            <w:shd w:val="clear" w:color="000000" w:fill="FFFFFF"/>
            <w:noWrap/>
            <w:vAlign w:val="bottom"/>
          </w:tcPr>
          <w:p w14:paraId="216FFF5A" w14:textId="47011AEA" w:rsidR="006447D8" w:rsidRPr="00846EEE" w:rsidRDefault="006447D8" w:rsidP="00B533BE">
            <w:pPr>
              <w:spacing w:after="0" w:line="240" w:lineRule="auto"/>
              <w:jc w:val="right"/>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941" w:type="dxa"/>
            <w:tcBorders>
              <w:top w:val="nil"/>
              <w:left w:val="nil"/>
              <w:bottom w:val="nil"/>
              <w:right w:val="nil"/>
            </w:tcBorders>
            <w:shd w:val="clear" w:color="000000" w:fill="FFFFFF"/>
            <w:noWrap/>
            <w:vAlign w:val="bottom"/>
          </w:tcPr>
          <w:p w14:paraId="60A3E5AD" w14:textId="4100F597" w:rsidR="006447D8" w:rsidRPr="00846EEE" w:rsidRDefault="006447D8" w:rsidP="00B533BE">
            <w:pPr>
              <w:spacing w:after="0" w:line="240" w:lineRule="auto"/>
              <w:jc w:val="right"/>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941" w:type="dxa"/>
            <w:tcBorders>
              <w:top w:val="nil"/>
              <w:left w:val="nil"/>
              <w:bottom w:val="nil"/>
              <w:right w:val="nil"/>
            </w:tcBorders>
            <w:shd w:val="clear" w:color="000000" w:fill="FFFFFF"/>
            <w:noWrap/>
            <w:vAlign w:val="bottom"/>
          </w:tcPr>
          <w:p w14:paraId="0AAF10B7" w14:textId="1BB3E11A" w:rsidR="006447D8" w:rsidRPr="00846EEE" w:rsidRDefault="006447D8" w:rsidP="00B533BE">
            <w:pPr>
              <w:spacing w:after="0" w:line="240" w:lineRule="auto"/>
              <w:jc w:val="right"/>
              <w:rPr>
                <w:rFonts w:asciiTheme="minorHAnsi" w:hAnsiTheme="minorHAnsi" w:cstheme="minorHAnsi"/>
                <w:color w:val="000000"/>
                <w:sz w:val="18"/>
                <w:szCs w:val="18"/>
              </w:rPr>
            </w:pPr>
            <w:r>
              <w:rPr>
                <w:rFonts w:asciiTheme="minorHAnsi" w:hAnsiTheme="minorHAnsi" w:cstheme="minorHAnsi"/>
                <w:color w:val="000000"/>
                <w:sz w:val="18"/>
                <w:szCs w:val="18"/>
              </w:rPr>
              <w:t>128</w:t>
            </w:r>
          </w:p>
        </w:tc>
      </w:tr>
      <w:tr w:rsidR="006447D8" w:rsidRPr="00551D5A" w14:paraId="0A78828E" w14:textId="77777777" w:rsidTr="00997EF7">
        <w:trPr>
          <w:trHeight w:val="104"/>
        </w:trPr>
        <w:tc>
          <w:tcPr>
            <w:tcW w:w="2694" w:type="dxa"/>
            <w:tcBorders>
              <w:top w:val="nil"/>
              <w:left w:val="nil"/>
              <w:bottom w:val="nil"/>
              <w:right w:val="nil"/>
            </w:tcBorders>
            <w:shd w:val="clear" w:color="000000" w:fill="FFFFFF"/>
            <w:vAlign w:val="center"/>
          </w:tcPr>
          <w:p w14:paraId="7F9089C4" w14:textId="48AA4C25" w:rsidR="006447D8" w:rsidRPr="00997EF7" w:rsidRDefault="006447D8" w:rsidP="00997EF7">
            <w:pPr>
              <w:spacing w:after="0" w:line="240" w:lineRule="auto"/>
              <w:ind w:hanging="105"/>
              <w:jc w:val="both"/>
              <w:rPr>
                <w:rFonts w:asciiTheme="minorHAnsi" w:hAnsiTheme="minorHAnsi" w:cstheme="minorHAnsi"/>
                <w:sz w:val="18"/>
                <w:szCs w:val="18"/>
              </w:rPr>
            </w:pPr>
            <w:r>
              <w:rPr>
                <w:rFonts w:asciiTheme="minorHAnsi" w:hAnsiTheme="minorHAnsi" w:cstheme="minorHAnsi"/>
                <w:sz w:val="18"/>
                <w:szCs w:val="18"/>
              </w:rPr>
              <w:t>Purchase/</w:t>
            </w:r>
            <w:r w:rsidR="00BA5BFF">
              <w:rPr>
                <w:rFonts w:asciiTheme="minorHAnsi" w:hAnsiTheme="minorHAnsi" w:cstheme="minorHAnsi"/>
                <w:sz w:val="18"/>
                <w:szCs w:val="18"/>
              </w:rPr>
              <w:t>s</w:t>
            </w:r>
            <w:r>
              <w:rPr>
                <w:rFonts w:asciiTheme="minorHAnsi" w:hAnsiTheme="minorHAnsi" w:cstheme="minorHAnsi"/>
                <w:sz w:val="18"/>
                <w:szCs w:val="18"/>
              </w:rPr>
              <w:t>ale of shares by the EBT</w:t>
            </w:r>
          </w:p>
        </w:tc>
        <w:tc>
          <w:tcPr>
            <w:tcW w:w="941" w:type="dxa"/>
            <w:tcBorders>
              <w:top w:val="nil"/>
              <w:left w:val="nil"/>
              <w:bottom w:val="nil"/>
              <w:right w:val="nil"/>
            </w:tcBorders>
            <w:shd w:val="clear" w:color="000000" w:fill="FFFFFF"/>
            <w:noWrap/>
            <w:vAlign w:val="bottom"/>
          </w:tcPr>
          <w:p w14:paraId="670220E2" w14:textId="59A49E27" w:rsidR="006447D8" w:rsidRPr="00846EEE" w:rsidRDefault="006447D8" w:rsidP="00B533BE">
            <w:pPr>
              <w:spacing w:after="0" w:line="240" w:lineRule="auto"/>
              <w:jc w:val="right"/>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941" w:type="dxa"/>
            <w:tcBorders>
              <w:top w:val="nil"/>
              <w:left w:val="nil"/>
              <w:bottom w:val="nil"/>
              <w:right w:val="nil"/>
            </w:tcBorders>
            <w:shd w:val="clear" w:color="000000" w:fill="FFFFFF"/>
            <w:noWrap/>
            <w:vAlign w:val="bottom"/>
          </w:tcPr>
          <w:p w14:paraId="57B46188" w14:textId="7C9CD89B" w:rsidR="006447D8" w:rsidRPr="00846EEE" w:rsidRDefault="006447D8" w:rsidP="00B533BE">
            <w:pPr>
              <w:spacing w:after="0" w:line="240" w:lineRule="auto"/>
              <w:jc w:val="right"/>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941" w:type="dxa"/>
            <w:tcBorders>
              <w:top w:val="nil"/>
              <w:left w:val="nil"/>
              <w:bottom w:val="nil"/>
              <w:right w:val="nil"/>
            </w:tcBorders>
            <w:shd w:val="clear" w:color="000000" w:fill="FFFFFF"/>
            <w:noWrap/>
            <w:vAlign w:val="bottom"/>
          </w:tcPr>
          <w:p w14:paraId="3E0E79AB" w14:textId="1F1A9FAB" w:rsidR="006447D8" w:rsidRPr="00846EEE" w:rsidDel="00591671" w:rsidRDefault="006447D8" w:rsidP="00B533BE">
            <w:pPr>
              <w:spacing w:after="0" w:line="240" w:lineRule="auto"/>
              <w:jc w:val="right"/>
              <w:rPr>
                <w:rFonts w:asciiTheme="minorHAnsi" w:hAnsiTheme="minorHAnsi" w:cstheme="minorHAnsi"/>
                <w:color w:val="000000"/>
                <w:sz w:val="18"/>
                <w:szCs w:val="18"/>
              </w:rPr>
            </w:pPr>
            <w:r>
              <w:rPr>
                <w:rFonts w:asciiTheme="minorHAnsi" w:hAnsiTheme="minorHAnsi" w:cstheme="minorHAnsi"/>
                <w:color w:val="000000"/>
                <w:sz w:val="18"/>
                <w:szCs w:val="18"/>
              </w:rPr>
              <w:t>(244)</w:t>
            </w:r>
          </w:p>
        </w:tc>
        <w:tc>
          <w:tcPr>
            <w:tcW w:w="941" w:type="dxa"/>
            <w:tcBorders>
              <w:top w:val="nil"/>
              <w:left w:val="nil"/>
              <w:bottom w:val="nil"/>
              <w:right w:val="nil"/>
            </w:tcBorders>
            <w:shd w:val="clear" w:color="000000" w:fill="FFFFFF"/>
            <w:noWrap/>
            <w:vAlign w:val="bottom"/>
          </w:tcPr>
          <w:p w14:paraId="4C5E781A" w14:textId="21594303" w:rsidR="006447D8" w:rsidRPr="00846EEE" w:rsidDel="00591671" w:rsidRDefault="006447D8" w:rsidP="00B533BE">
            <w:pPr>
              <w:spacing w:after="0" w:line="240" w:lineRule="auto"/>
              <w:jc w:val="right"/>
              <w:rPr>
                <w:rFonts w:asciiTheme="minorHAnsi" w:hAnsiTheme="minorHAnsi" w:cstheme="minorHAnsi"/>
                <w:color w:val="000000"/>
                <w:sz w:val="18"/>
                <w:szCs w:val="18"/>
              </w:rPr>
            </w:pPr>
            <w:r>
              <w:rPr>
                <w:rFonts w:asciiTheme="minorHAnsi" w:hAnsiTheme="minorHAnsi" w:cstheme="minorHAnsi"/>
                <w:color w:val="000000"/>
                <w:sz w:val="18"/>
                <w:szCs w:val="18"/>
              </w:rPr>
              <w:t>(97)</w:t>
            </w:r>
          </w:p>
        </w:tc>
        <w:tc>
          <w:tcPr>
            <w:tcW w:w="941" w:type="dxa"/>
            <w:tcBorders>
              <w:top w:val="nil"/>
              <w:left w:val="nil"/>
              <w:bottom w:val="nil"/>
              <w:right w:val="nil"/>
            </w:tcBorders>
            <w:shd w:val="clear" w:color="000000" w:fill="FFFFFF"/>
            <w:noWrap/>
            <w:vAlign w:val="bottom"/>
          </w:tcPr>
          <w:p w14:paraId="5F325542" w14:textId="65735AC2" w:rsidR="006447D8" w:rsidRPr="00846EEE" w:rsidRDefault="006447D8" w:rsidP="00B533BE">
            <w:pPr>
              <w:spacing w:after="0" w:line="240" w:lineRule="auto"/>
              <w:jc w:val="right"/>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941" w:type="dxa"/>
            <w:tcBorders>
              <w:top w:val="nil"/>
              <w:left w:val="nil"/>
              <w:bottom w:val="nil"/>
              <w:right w:val="nil"/>
            </w:tcBorders>
            <w:shd w:val="clear" w:color="000000" w:fill="FFFFFF"/>
            <w:noWrap/>
            <w:vAlign w:val="bottom"/>
          </w:tcPr>
          <w:p w14:paraId="28FDC0AF" w14:textId="4CAADF57" w:rsidR="006447D8" w:rsidRPr="00846EEE" w:rsidDel="00591671" w:rsidRDefault="006447D8" w:rsidP="00B533BE">
            <w:pPr>
              <w:spacing w:after="0" w:line="240" w:lineRule="auto"/>
              <w:jc w:val="right"/>
              <w:rPr>
                <w:rFonts w:asciiTheme="minorHAnsi" w:hAnsiTheme="minorHAnsi" w:cstheme="minorHAnsi"/>
                <w:color w:val="000000"/>
                <w:sz w:val="18"/>
                <w:szCs w:val="18"/>
              </w:rPr>
            </w:pPr>
            <w:r>
              <w:rPr>
                <w:rFonts w:asciiTheme="minorHAnsi" w:hAnsiTheme="minorHAnsi" w:cstheme="minorHAnsi"/>
                <w:color w:val="000000"/>
                <w:sz w:val="18"/>
                <w:szCs w:val="18"/>
              </w:rPr>
              <w:t>43</w:t>
            </w:r>
          </w:p>
        </w:tc>
        <w:tc>
          <w:tcPr>
            <w:tcW w:w="941" w:type="dxa"/>
            <w:tcBorders>
              <w:top w:val="nil"/>
              <w:left w:val="nil"/>
              <w:bottom w:val="nil"/>
              <w:right w:val="nil"/>
            </w:tcBorders>
            <w:shd w:val="clear" w:color="000000" w:fill="FFFFFF"/>
            <w:noWrap/>
            <w:vAlign w:val="bottom"/>
          </w:tcPr>
          <w:p w14:paraId="29D5CF25" w14:textId="1CADB3D6" w:rsidR="006447D8" w:rsidRPr="00846EEE" w:rsidRDefault="006447D8" w:rsidP="00B533BE">
            <w:pPr>
              <w:spacing w:after="0" w:line="240" w:lineRule="auto"/>
              <w:jc w:val="right"/>
              <w:rPr>
                <w:rFonts w:asciiTheme="minorHAnsi" w:hAnsiTheme="minorHAnsi" w:cstheme="minorHAnsi"/>
                <w:color w:val="000000"/>
                <w:sz w:val="18"/>
                <w:szCs w:val="18"/>
              </w:rPr>
            </w:pPr>
            <w:r>
              <w:rPr>
                <w:rFonts w:asciiTheme="minorHAnsi" w:hAnsiTheme="minorHAnsi" w:cstheme="minorHAnsi"/>
                <w:color w:val="000000"/>
                <w:sz w:val="18"/>
                <w:szCs w:val="18"/>
              </w:rPr>
              <w:t>(298)</w:t>
            </w:r>
          </w:p>
        </w:tc>
      </w:tr>
      <w:tr w:rsidR="007D3559" w:rsidRPr="00551D5A" w14:paraId="74D1DB74" w14:textId="77777777" w:rsidTr="00997EF7">
        <w:trPr>
          <w:trHeight w:val="104"/>
        </w:trPr>
        <w:tc>
          <w:tcPr>
            <w:tcW w:w="2694" w:type="dxa"/>
            <w:tcBorders>
              <w:top w:val="single" w:sz="4" w:space="0" w:color="auto"/>
              <w:left w:val="nil"/>
              <w:bottom w:val="single" w:sz="4" w:space="0" w:color="auto"/>
              <w:right w:val="nil"/>
            </w:tcBorders>
            <w:shd w:val="clear" w:color="000000" w:fill="FFFFFF"/>
            <w:vAlign w:val="center"/>
            <w:hideMark/>
          </w:tcPr>
          <w:p w14:paraId="11EE5E47" w14:textId="77777777" w:rsidR="00B533BE" w:rsidRPr="00846EEE" w:rsidRDefault="00B533BE" w:rsidP="00997EF7">
            <w:pPr>
              <w:spacing w:after="0" w:line="240" w:lineRule="auto"/>
              <w:ind w:hanging="105"/>
              <w:rPr>
                <w:rFonts w:asciiTheme="minorHAnsi" w:hAnsiTheme="minorHAnsi" w:cstheme="minorHAnsi"/>
                <w:b/>
                <w:bCs/>
                <w:color w:val="000000"/>
                <w:sz w:val="18"/>
                <w:szCs w:val="18"/>
              </w:rPr>
            </w:pPr>
            <w:r w:rsidRPr="00846EEE">
              <w:rPr>
                <w:rFonts w:asciiTheme="minorHAnsi" w:hAnsiTheme="minorHAnsi" w:cstheme="minorHAnsi"/>
                <w:b/>
                <w:bCs/>
                <w:color w:val="000000"/>
                <w:sz w:val="18"/>
                <w:szCs w:val="18"/>
              </w:rPr>
              <w:t xml:space="preserve">As </w:t>
            </w:r>
            <w:proofErr w:type="gramStart"/>
            <w:r w:rsidRPr="00846EEE">
              <w:rPr>
                <w:rFonts w:asciiTheme="minorHAnsi" w:hAnsiTheme="minorHAnsi" w:cstheme="minorHAnsi"/>
                <w:b/>
                <w:bCs/>
                <w:color w:val="000000"/>
                <w:sz w:val="18"/>
                <w:szCs w:val="18"/>
              </w:rPr>
              <w:t>at</w:t>
            </w:r>
            <w:proofErr w:type="gramEnd"/>
            <w:r w:rsidRPr="00846EEE">
              <w:rPr>
                <w:rFonts w:asciiTheme="minorHAnsi" w:hAnsiTheme="minorHAnsi" w:cstheme="minorHAnsi"/>
                <w:b/>
                <w:bCs/>
                <w:color w:val="000000"/>
                <w:sz w:val="18"/>
                <w:szCs w:val="18"/>
              </w:rPr>
              <w:t xml:space="preserve"> 31 January 2023</w:t>
            </w:r>
          </w:p>
        </w:tc>
        <w:tc>
          <w:tcPr>
            <w:tcW w:w="941" w:type="dxa"/>
            <w:tcBorders>
              <w:top w:val="single" w:sz="4" w:space="0" w:color="auto"/>
              <w:left w:val="nil"/>
              <w:bottom w:val="single" w:sz="4" w:space="0" w:color="auto"/>
              <w:right w:val="nil"/>
            </w:tcBorders>
            <w:shd w:val="clear" w:color="000000" w:fill="FFFFFF"/>
            <w:noWrap/>
            <w:vAlign w:val="bottom"/>
            <w:hideMark/>
          </w:tcPr>
          <w:p w14:paraId="00A38C1C" w14:textId="123BAB72" w:rsidR="00B533BE" w:rsidRPr="00846EEE" w:rsidRDefault="00B533BE" w:rsidP="00B533BE">
            <w:pPr>
              <w:spacing w:after="0" w:line="240" w:lineRule="auto"/>
              <w:jc w:val="right"/>
              <w:rPr>
                <w:rFonts w:asciiTheme="minorHAnsi" w:hAnsiTheme="minorHAnsi" w:cstheme="minorHAnsi"/>
                <w:b/>
                <w:bCs/>
                <w:color w:val="000000"/>
                <w:sz w:val="18"/>
                <w:szCs w:val="18"/>
              </w:rPr>
            </w:pPr>
            <w:r w:rsidRPr="00846EEE">
              <w:rPr>
                <w:rFonts w:asciiTheme="minorHAnsi" w:hAnsiTheme="minorHAnsi" w:cstheme="minorHAnsi"/>
                <w:b/>
                <w:bCs/>
                <w:color w:val="000000"/>
                <w:sz w:val="18"/>
                <w:szCs w:val="18"/>
              </w:rPr>
              <w:t xml:space="preserve"> 223 </w:t>
            </w:r>
          </w:p>
        </w:tc>
        <w:tc>
          <w:tcPr>
            <w:tcW w:w="941" w:type="dxa"/>
            <w:tcBorders>
              <w:top w:val="single" w:sz="4" w:space="0" w:color="auto"/>
              <w:left w:val="nil"/>
              <w:bottom w:val="single" w:sz="4" w:space="0" w:color="auto"/>
              <w:right w:val="nil"/>
            </w:tcBorders>
            <w:shd w:val="clear" w:color="000000" w:fill="FFFFFF"/>
            <w:noWrap/>
            <w:vAlign w:val="bottom"/>
            <w:hideMark/>
          </w:tcPr>
          <w:p w14:paraId="1D42CF23" w14:textId="048BAF2A" w:rsidR="00B533BE" w:rsidRPr="00846EEE" w:rsidRDefault="00B533BE" w:rsidP="00B533BE">
            <w:pPr>
              <w:spacing w:after="0" w:line="240" w:lineRule="auto"/>
              <w:jc w:val="right"/>
              <w:rPr>
                <w:rFonts w:asciiTheme="minorHAnsi" w:hAnsiTheme="minorHAnsi" w:cstheme="minorHAnsi"/>
                <w:b/>
                <w:bCs/>
                <w:color w:val="000000"/>
                <w:sz w:val="18"/>
                <w:szCs w:val="18"/>
              </w:rPr>
            </w:pPr>
            <w:r w:rsidRPr="00846EEE">
              <w:rPr>
                <w:rFonts w:asciiTheme="minorHAnsi" w:hAnsiTheme="minorHAnsi" w:cstheme="minorHAnsi"/>
                <w:b/>
                <w:bCs/>
                <w:color w:val="000000"/>
                <w:sz w:val="18"/>
                <w:szCs w:val="18"/>
              </w:rPr>
              <w:t xml:space="preserve">  14,334 </w:t>
            </w:r>
          </w:p>
        </w:tc>
        <w:tc>
          <w:tcPr>
            <w:tcW w:w="941" w:type="dxa"/>
            <w:tcBorders>
              <w:top w:val="single" w:sz="4" w:space="0" w:color="auto"/>
              <w:left w:val="nil"/>
              <w:bottom w:val="single" w:sz="4" w:space="0" w:color="auto"/>
              <w:right w:val="nil"/>
            </w:tcBorders>
            <w:shd w:val="clear" w:color="000000" w:fill="FFFFFF"/>
            <w:noWrap/>
            <w:vAlign w:val="bottom"/>
          </w:tcPr>
          <w:p w14:paraId="271137B3" w14:textId="22F90EBE" w:rsidR="00B533BE" w:rsidRPr="00846EEE" w:rsidRDefault="00591671" w:rsidP="00B533BE">
            <w:pPr>
              <w:spacing w:after="0" w:line="240" w:lineRule="auto"/>
              <w:jc w:val="right"/>
              <w:rPr>
                <w:rFonts w:asciiTheme="minorHAnsi" w:hAnsiTheme="minorHAnsi" w:cstheme="minorHAnsi"/>
                <w:b/>
                <w:bCs/>
                <w:color w:val="000000"/>
                <w:sz w:val="18"/>
                <w:szCs w:val="18"/>
              </w:rPr>
            </w:pPr>
            <w:r>
              <w:rPr>
                <w:rFonts w:asciiTheme="minorHAnsi" w:hAnsiTheme="minorHAnsi" w:cstheme="minorHAnsi"/>
                <w:b/>
                <w:bCs/>
                <w:color w:val="000000"/>
                <w:sz w:val="18"/>
                <w:szCs w:val="18"/>
              </w:rPr>
              <w:t>(1,815)</w:t>
            </w:r>
          </w:p>
        </w:tc>
        <w:tc>
          <w:tcPr>
            <w:tcW w:w="941" w:type="dxa"/>
            <w:tcBorders>
              <w:top w:val="single" w:sz="4" w:space="0" w:color="auto"/>
              <w:left w:val="nil"/>
              <w:bottom w:val="single" w:sz="4" w:space="0" w:color="auto"/>
              <w:right w:val="nil"/>
            </w:tcBorders>
            <w:shd w:val="clear" w:color="000000" w:fill="FFFFFF"/>
            <w:noWrap/>
            <w:vAlign w:val="bottom"/>
          </w:tcPr>
          <w:p w14:paraId="5A92A608" w14:textId="47B74772" w:rsidR="00B533BE" w:rsidRPr="00846EEE" w:rsidRDefault="00591671" w:rsidP="00B533BE">
            <w:pPr>
              <w:spacing w:after="0" w:line="240" w:lineRule="auto"/>
              <w:jc w:val="right"/>
              <w:rPr>
                <w:rFonts w:asciiTheme="minorHAnsi" w:hAnsiTheme="minorHAnsi" w:cstheme="minorHAnsi"/>
                <w:b/>
                <w:bCs/>
                <w:color w:val="000000"/>
                <w:sz w:val="18"/>
                <w:szCs w:val="18"/>
              </w:rPr>
            </w:pPr>
            <w:r>
              <w:rPr>
                <w:rFonts w:asciiTheme="minorHAnsi" w:hAnsiTheme="minorHAnsi" w:cstheme="minorHAnsi"/>
                <w:b/>
                <w:bCs/>
                <w:color w:val="000000"/>
                <w:sz w:val="18"/>
                <w:szCs w:val="18"/>
              </w:rPr>
              <w:t>1,197</w:t>
            </w:r>
          </w:p>
        </w:tc>
        <w:tc>
          <w:tcPr>
            <w:tcW w:w="941" w:type="dxa"/>
            <w:tcBorders>
              <w:top w:val="single" w:sz="4" w:space="0" w:color="auto"/>
              <w:left w:val="nil"/>
              <w:bottom w:val="single" w:sz="4" w:space="0" w:color="auto"/>
              <w:right w:val="nil"/>
            </w:tcBorders>
            <w:shd w:val="clear" w:color="000000" w:fill="FFFFFF"/>
            <w:noWrap/>
            <w:vAlign w:val="bottom"/>
          </w:tcPr>
          <w:p w14:paraId="46F8547D" w14:textId="5D3CB1A3" w:rsidR="00B533BE" w:rsidRPr="00846EEE" w:rsidRDefault="00591671" w:rsidP="00B533BE">
            <w:pPr>
              <w:spacing w:after="0" w:line="240" w:lineRule="auto"/>
              <w:jc w:val="right"/>
              <w:rPr>
                <w:rFonts w:asciiTheme="minorHAnsi" w:hAnsiTheme="minorHAnsi" w:cstheme="minorHAnsi"/>
                <w:b/>
                <w:bCs/>
                <w:color w:val="000000"/>
                <w:sz w:val="18"/>
                <w:szCs w:val="18"/>
              </w:rPr>
            </w:pPr>
            <w:r>
              <w:rPr>
                <w:rFonts w:asciiTheme="minorHAnsi" w:hAnsiTheme="minorHAnsi" w:cstheme="minorHAnsi"/>
                <w:b/>
                <w:bCs/>
                <w:color w:val="000000"/>
                <w:sz w:val="18"/>
                <w:szCs w:val="18"/>
              </w:rPr>
              <w:t>22</w:t>
            </w:r>
          </w:p>
        </w:tc>
        <w:tc>
          <w:tcPr>
            <w:tcW w:w="941" w:type="dxa"/>
            <w:tcBorders>
              <w:top w:val="single" w:sz="4" w:space="0" w:color="auto"/>
              <w:left w:val="nil"/>
              <w:bottom w:val="single" w:sz="4" w:space="0" w:color="auto"/>
              <w:right w:val="nil"/>
            </w:tcBorders>
            <w:shd w:val="clear" w:color="000000" w:fill="FFFFFF"/>
            <w:noWrap/>
            <w:vAlign w:val="bottom"/>
          </w:tcPr>
          <w:p w14:paraId="3FCE1DD2" w14:textId="7C779027" w:rsidR="00B533BE" w:rsidRPr="00846EEE" w:rsidRDefault="00591671" w:rsidP="00B533BE">
            <w:pPr>
              <w:spacing w:after="0" w:line="240" w:lineRule="auto"/>
              <w:jc w:val="right"/>
              <w:rPr>
                <w:rFonts w:asciiTheme="minorHAnsi" w:hAnsiTheme="minorHAnsi" w:cstheme="minorHAnsi"/>
                <w:b/>
                <w:bCs/>
                <w:color w:val="000000"/>
                <w:sz w:val="18"/>
                <w:szCs w:val="18"/>
              </w:rPr>
            </w:pPr>
            <w:r>
              <w:rPr>
                <w:rFonts w:asciiTheme="minorHAnsi" w:hAnsiTheme="minorHAnsi" w:cstheme="minorHAnsi"/>
                <w:b/>
                <w:bCs/>
                <w:color w:val="000000"/>
                <w:sz w:val="18"/>
                <w:szCs w:val="18"/>
              </w:rPr>
              <w:t>29,268</w:t>
            </w:r>
          </w:p>
        </w:tc>
        <w:tc>
          <w:tcPr>
            <w:tcW w:w="941" w:type="dxa"/>
            <w:tcBorders>
              <w:top w:val="single" w:sz="4" w:space="0" w:color="auto"/>
              <w:left w:val="nil"/>
              <w:bottom w:val="single" w:sz="4" w:space="0" w:color="auto"/>
              <w:right w:val="nil"/>
            </w:tcBorders>
            <w:shd w:val="clear" w:color="000000" w:fill="FFFFFF"/>
            <w:noWrap/>
            <w:vAlign w:val="bottom"/>
          </w:tcPr>
          <w:p w14:paraId="615AD608" w14:textId="11E2357C" w:rsidR="00B533BE" w:rsidRPr="00846EEE" w:rsidRDefault="00591671" w:rsidP="00B533BE">
            <w:pPr>
              <w:spacing w:after="0" w:line="240" w:lineRule="auto"/>
              <w:jc w:val="right"/>
              <w:rPr>
                <w:rFonts w:asciiTheme="minorHAnsi" w:hAnsiTheme="minorHAnsi" w:cstheme="minorHAnsi"/>
                <w:b/>
                <w:bCs/>
                <w:color w:val="000000"/>
                <w:sz w:val="18"/>
                <w:szCs w:val="18"/>
              </w:rPr>
            </w:pPr>
            <w:r>
              <w:rPr>
                <w:rFonts w:asciiTheme="minorHAnsi" w:hAnsiTheme="minorHAnsi" w:cstheme="minorHAnsi"/>
                <w:b/>
                <w:bCs/>
                <w:color w:val="000000"/>
                <w:sz w:val="18"/>
                <w:szCs w:val="18"/>
              </w:rPr>
              <w:t>43,229</w:t>
            </w:r>
          </w:p>
        </w:tc>
      </w:tr>
    </w:tbl>
    <w:p w14:paraId="758012E6" w14:textId="77777777" w:rsidR="00B533BE" w:rsidRPr="00846EEE" w:rsidRDefault="00B533BE" w:rsidP="00846EEE">
      <w:pPr>
        <w:spacing w:after="0" w:line="240" w:lineRule="auto"/>
        <w:jc w:val="both"/>
        <w:rPr>
          <w:rFonts w:asciiTheme="minorHAnsi" w:hAnsiTheme="minorHAnsi" w:cstheme="minorHAnsi"/>
          <w:sz w:val="18"/>
          <w:szCs w:val="18"/>
        </w:rPr>
      </w:pPr>
    </w:p>
    <w:p w14:paraId="744DCFA0" w14:textId="77777777" w:rsidR="00CC7A30" w:rsidRPr="00551D5A" w:rsidRDefault="00CC7A30" w:rsidP="00CC7A30">
      <w:pPr>
        <w:pStyle w:val="Headings"/>
        <w:spacing w:before="0" w:after="0"/>
        <w:ind w:left="0"/>
        <w:jc w:val="both"/>
        <w:rPr>
          <w:rFonts w:asciiTheme="minorHAnsi" w:hAnsiTheme="minorHAnsi" w:cstheme="minorHAnsi"/>
          <w:color w:val="auto"/>
          <w:sz w:val="18"/>
          <w:szCs w:val="18"/>
          <w:u w:val="single"/>
          <w:lang w:val="en-US"/>
        </w:rPr>
        <w:sectPr w:rsidR="00CC7A30" w:rsidRPr="00551D5A" w:rsidSect="005C1CFC">
          <w:headerReference w:type="first" r:id="rId16"/>
          <w:footerReference w:type="first" r:id="rId17"/>
          <w:pgSz w:w="11900" w:h="16840"/>
          <w:pgMar w:top="1440" w:right="1440" w:bottom="1440" w:left="1440" w:header="709" w:footer="709" w:gutter="0"/>
          <w:cols w:space="708"/>
          <w:titlePg/>
          <w:docGrid w:linePitch="437"/>
        </w:sectPr>
      </w:pPr>
    </w:p>
    <w:p w14:paraId="68232B14" w14:textId="77777777" w:rsidR="00CC7A30" w:rsidRPr="00551D5A" w:rsidRDefault="00CC7A30" w:rsidP="00CC7A30">
      <w:pPr>
        <w:pStyle w:val="Headings"/>
        <w:spacing w:before="0" w:after="0"/>
        <w:ind w:left="0"/>
        <w:jc w:val="both"/>
        <w:rPr>
          <w:rFonts w:asciiTheme="minorHAnsi" w:hAnsiTheme="minorHAnsi" w:cstheme="minorHAnsi"/>
          <w:color w:val="auto"/>
          <w:sz w:val="18"/>
          <w:szCs w:val="18"/>
          <w:lang w:val="en-US"/>
        </w:rPr>
      </w:pPr>
      <w:r w:rsidRPr="00551D5A">
        <w:rPr>
          <w:rFonts w:asciiTheme="minorHAnsi" w:hAnsiTheme="minorHAnsi" w:cstheme="minorHAnsi"/>
          <w:color w:val="auto"/>
          <w:sz w:val="18"/>
          <w:szCs w:val="18"/>
          <w:lang w:val="en-US"/>
        </w:rPr>
        <w:lastRenderedPageBreak/>
        <w:t>Consolidated Statement of Cash Flows</w:t>
      </w:r>
    </w:p>
    <w:p w14:paraId="28388525" w14:textId="2E2A9FB4" w:rsidR="00CC7A30" w:rsidRPr="00551D5A" w:rsidRDefault="00CC7A30" w:rsidP="00CC7A30">
      <w:pPr>
        <w:pStyle w:val="Headings"/>
        <w:spacing w:before="0" w:after="0"/>
        <w:ind w:left="0"/>
        <w:jc w:val="both"/>
        <w:rPr>
          <w:rFonts w:asciiTheme="minorHAnsi" w:hAnsiTheme="minorHAnsi" w:cstheme="minorHAnsi"/>
          <w:color w:val="auto"/>
          <w:sz w:val="18"/>
          <w:szCs w:val="18"/>
          <w:lang w:val="en-US"/>
        </w:rPr>
      </w:pPr>
      <w:r w:rsidRPr="00551D5A">
        <w:rPr>
          <w:rFonts w:asciiTheme="minorHAnsi" w:hAnsiTheme="minorHAnsi" w:cstheme="minorHAnsi"/>
          <w:color w:val="auto"/>
          <w:sz w:val="18"/>
          <w:szCs w:val="18"/>
          <w:lang w:val="en-US"/>
        </w:rPr>
        <w:t xml:space="preserve">For the </w:t>
      </w:r>
      <w:r w:rsidR="00506B94" w:rsidRPr="00551D5A">
        <w:rPr>
          <w:rFonts w:asciiTheme="minorHAnsi" w:hAnsiTheme="minorHAnsi" w:cstheme="minorHAnsi"/>
          <w:color w:val="auto"/>
          <w:sz w:val="18"/>
          <w:szCs w:val="18"/>
          <w:lang w:val="en-US"/>
        </w:rPr>
        <w:t xml:space="preserve">period </w:t>
      </w:r>
      <w:r w:rsidRPr="00551D5A">
        <w:rPr>
          <w:rFonts w:asciiTheme="minorHAnsi" w:hAnsiTheme="minorHAnsi" w:cstheme="minorHAnsi"/>
          <w:color w:val="auto"/>
          <w:sz w:val="18"/>
          <w:szCs w:val="18"/>
          <w:lang w:val="en-US"/>
        </w:rPr>
        <w:t>ended 31</w:t>
      </w:r>
      <w:r w:rsidR="00506B94" w:rsidRPr="00551D5A">
        <w:rPr>
          <w:rFonts w:asciiTheme="minorHAnsi" w:hAnsiTheme="minorHAnsi" w:cstheme="minorHAnsi"/>
          <w:color w:val="auto"/>
          <w:sz w:val="18"/>
          <w:szCs w:val="18"/>
          <w:lang w:val="en-US"/>
        </w:rPr>
        <w:t xml:space="preserve"> January</w:t>
      </w:r>
    </w:p>
    <w:p w14:paraId="6E9A17BE" w14:textId="269C173A" w:rsidR="007A34B1" w:rsidRPr="00846EEE" w:rsidRDefault="007A34B1">
      <w:pPr>
        <w:rPr>
          <w:rFonts w:asciiTheme="minorHAnsi" w:hAnsiTheme="minorHAnsi" w:cstheme="minorHAnsi"/>
          <w:sz w:val="18"/>
          <w:szCs w:val="18"/>
        </w:rPr>
      </w:pPr>
    </w:p>
    <w:tbl>
      <w:tblPr>
        <w:tblW w:w="9498" w:type="dxa"/>
        <w:tblLayout w:type="fixed"/>
        <w:tblLook w:val="04A0" w:firstRow="1" w:lastRow="0" w:firstColumn="1" w:lastColumn="0" w:noHBand="0" w:noVBand="1"/>
      </w:tblPr>
      <w:tblGrid>
        <w:gridCol w:w="5103"/>
        <w:gridCol w:w="1559"/>
        <w:gridCol w:w="1418"/>
        <w:gridCol w:w="1418"/>
      </w:tblGrid>
      <w:tr w:rsidR="00551D5A" w:rsidRPr="00551D5A" w14:paraId="3170A689" w14:textId="77777777" w:rsidTr="00997EF7">
        <w:trPr>
          <w:trHeight w:val="597"/>
        </w:trPr>
        <w:tc>
          <w:tcPr>
            <w:tcW w:w="5103" w:type="dxa"/>
            <w:tcBorders>
              <w:top w:val="nil"/>
              <w:left w:val="nil"/>
              <w:bottom w:val="nil"/>
              <w:right w:val="nil"/>
            </w:tcBorders>
            <w:shd w:val="clear" w:color="000000" w:fill="FFFFFF"/>
            <w:noWrap/>
            <w:vAlign w:val="bottom"/>
            <w:hideMark/>
          </w:tcPr>
          <w:p w14:paraId="17C8941A" w14:textId="77777777" w:rsidR="00506B94" w:rsidRPr="00846EEE" w:rsidRDefault="00506B94" w:rsidP="00506B94">
            <w:pPr>
              <w:spacing w:after="0" w:line="240" w:lineRule="auto"/>
              <w:rPr>
                <w:rFonts w:asciiTheme="minorHAnsi" w:hAnsiTheme="minorHAnsi" w:cstheme="minorHAnsi"/>
                <w:color w:val="000000"/>
                <w:sz w:val="18"/>
                <w:szCs w:val="18"/>
              </w:rPr>
            </w:pPr>
            <w:r w:rsidRPr="00846EEE">
              <w:rPr>
                <w:rFonts w:asciiTheme="minorHAnsi" w:hAnsiTheme="minorHAnsi" w:cstheme="minorHAnsi"/>
                <w:color w:val="000000"/>
                <w:sz w:val="18"/>
                <w:szCs w:val="18"/>
              </w:rPr>
              <w:t> </w:t>
            </w:r>
          </w:p>
        </w:tc>
        <w:tc>
          <w:tcPr>
            <w:tcW w:w="1559" w:type="dxa"/>
            <w:tcBorders>
              <w:top w:val="nil"/>
              <w:left w:val="nil"/>
              <w:bottom w:val="nil"/>
              <w:right w:val="nil"/>
            </w:tcBorders>
            <w:shd w:val="clear" w:color="000000" w:fill="FFFFFF"/>
            <w:vAlign w:val="bottom"/>
            <w:hideMark/>
          </w:tcPr>
          <w:p w14:paraId="3D5B1289" w14:textId="77777777" w:rsidR="00876AEA" w:rsidRDefault="00506B94" w:rsidP="00506B94">
            <w:pPr>
              <w:spacing w:after="0" w:line="240" w:lineRule="auto"/>
              <w:jc w:val="right"/>
              <w:rPr>
                <w:rFonts w:asciiTheme="minorHAnsi" w:hAnsiTheme="minorHAnsi" w:cstheme="minorHAnsi"/>
                <w:b/>
                <w:bCs/>
                <w:color w:val="000000"/>
                <w:sz w:val="18"/>
                <w:szCs w:val="18"/>
              </w:rPr>
            </w:pPr>
            <w:r w:rsidRPr="00997EF7">
              <w:rPr>
                <w:rFonts w:asciiTheme="minorHAnsi" w:hAnsiTheme="minorHAnsi" w:cstheme="minorHAnsi"/>
                <w:b/>
                <w:bCs/>
                <w:color w:val="000000"/>
                <w:sz w:val="18"/>
                <w:szCs w:val="18"/>
              </w:rPr>
              <w:t xml:space="preserve">Unaudited </w:t>
            </w:r>
          </w:p>
          <w:p w14:paraId="04E65AD4" w14:textId="343D8512" w:rsidR="00506B94" w:rsidRPr="00997EF7" w:rsidRDefault="00506B94" w:rsidP="00506B94">
            <w:pPr>
              <w:spacing w:after="0" w:line="240" w:lineRule="auto"/>
              <w:jc w:val="right"/>
              <w:rPr>
                <w:rFonts w:asciiTheme="minorHAnsi" w:hAnsiTheme="minorHAnsi" w:cstheme="minorHAnsi"/>
                <w:b/>
                <w:bCs/>
                <w:color w:val="000000"/>
                <w:sz w:val="18"/>
                <w:szCs w:val="18"/>
              </w:rPr>
            </w:pPr>
            <w:r w:rsidRPr="00997EF7">
              <w:rPr>
                <w:rFonts w:asciiTheme="minorHAnsi" w:hAnsiTheme="minorHAnsi" w:cstheme="minorHAnsi"/>
                <w:b/>
                <w:bCs/>
                <w:color w:val="000000"/>
                <w:sz w:val="18"/>
                <w:szCs w:val="18"/>
              </w:rPr>
              <w:t>31 January</w:t>
            </w:r>
            <w:r w:rsidR="00B03A21">
              <w:rPr>
                <w:rFonts w:asciiTheme="minorHAnsi" w:hAnsiTheme="minorHAnsi" w:cstheme="minorHAnsi"/>
                <w:b/>
                <w:bCs/>
                <w:color w:val="000000"/>
                <w:sz w:val="18"/>
                <w:szCs w:val="18"/>
              </w:rPr>
              <w:t xml:space="preserve"> </w:t>
            </w:r>
            <w:r w:rsidRPr="00997EF7">
              <w:rPr>
                <w:rFonts w:asciiTheme="minorHAnsi" w:hAnsiTheme="minorHAnsi" w:cstheme="minorHAnsi"/>
                <w:b/>
                <w:bCs/>
                <w:color w:val="000000"/>
                <w:sz w:val="18"/>
                <w:szCs w:val="18"/>
              </w:rPr>
              <w:t>2023</w:t>
            </w:r>
          </w:p>
        </w:tc>
        <w:tc>
          <w:tcPr>
            <w:tcW w:w="1418" w:type="dxa"/>
            <w:tcBorders>
              <w:top w:val="nil"/>
              <w:left w:val="nil"/>
              <w:bottom w:val="nil"/>
              <w:right w:val="nil"/>
            </w:tcBorders>
            <w:shd w:val="clear" w:color="000000" w:fill="FFFFFF"/>
            <w:vAlign w:val="bottom"/>
            <w:hideMark/>
          </w:tcPr>
          <w:p w14:paraId="33060E72" w14:textId="77777777" w:rsidR="00876AEA" w:rsidRDefault="00506B94" w:rsidP="00506B94">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Unaudited  </w:t>
            </w:r>
          </w:p>
          <w:p w14:paraId="14371F08" w14:textId="05D76338" w:rsidR="00506B94" w:rsidRPr="00846EEE" w:rsidRDefault="00506B94" w:rsidP="00506B94">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31 January 2022</w:t>
            </w:r>
          </w:p>
        </w:tc>
        <w:tc>
          <w:tcPr>
            <w:tcW w:w="1418" w:type="dxa"/>
            <w:tcBorders>
              <w:top w:val="nil"/>
              <w:left w:val="nil"/>
              <w:bottom w:val="nil"/>
              <w:right w:val="nil"/>
            </w:tcBorders>
            <w:shd w:val="clear" w:color="000000" w:fill="FFFFFF"/>
            <w:vAlign w:val="bottom"/>
            <w:hideMark/>
          </w:tcPr>
          <w:p w14:paraId="47D3F132" w14:textId="77777777" w:rsidR="00876AEA" w:rsidRDefault="00506B94" w:rsidP="00506B94">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Audited </w:t>
            </w:r>
          </w:p>
          <w:p w14:paraId="21AE293C" w14:textId="4DF8409F" w:rsidR="00506B94" w:rsidRPr="00846EEE" w:rsidRDefault="00506B94" w:rsidP="00506B94">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31 July 2022</w:t>
            </w:r>
          </w:p>
        </w:tc>
      </w:tr>
      <w:tr w:rsidR="00551D5A" w:rsidRPr="00551D5A" w14:paraId="19353282" w14:textId="77777777" w:rsidTr="00997EF7">
        <w:trPr>
          <w:trHeight w:val="199"/>
        </w:trPr>
        <w:tc>
          <w:tcPr>
            <w:tcW w:w="5103" w:type="dxa"/>
            <w:tcBorders>
              <w:top w:val="nil"/>
              <w:left w:val="nil"/>
              <w:bottom w:val="single" w:sz="4" w:space="0" w:color="auto"/>
              <w:right w:val="nil"/>
            </w:tcBorders>
            <w:shd w:val="clear" w:color="000000" w:fill="FFFFFF"/>
            <w:noWrap/>
            <w:vAlign w:val="bottom"/>
            <w:hideMark/>
          </w:tcPr>
          <w:p w14:paraId="49B1910A" w14:textId="77777777" w:rsidR="00506B94" w:rsidRPr="00846EEE" w:rsidRDefault="00506B94" w:rsidP="00506B94">
            <w:pPr>
              <w:spacing w:after="0" w:line="240" w:lineRule="auto"/>
              <w:rPr>
                <w:rFonts w:asciiTheme="minorHAnsi" w:hAnsiTheme="minorHAnsi" w:cstheme="minorHAnsi"/>
                <w:color w:val="000000"/>
                <w:sz w:val="18"/>
                <w:szCs w:val="18"/>
              </w:rPr>
            </w:pPr>
            <w:r w:rsidRPr="00846EEE">
              <w:rPr>
                <w:rFonts w:asciiTheme="minorHAnsi" w:hAnsiTheme="minorHAnsi" w:cstheme="minorHAnsi"/>
                <w:color w:val="000000"/>
                <w:sz w:val="18"/>
                <w:szCs w:val="18"/>
              </w:rPr>
              <w:t> </w:t>
            </w:r>
          </w:p>
        </w:tc>
        <w:tc>
          <w:tcPr>
            <w:tcW w:w="1559" w:type="dxa"/>
            <w:tcBorders>
              <w:top w:val="nil"/>
              <w:left w:val="nil"/>
              <w:bottom w:val="single" w:sz="4" w:space="0" w:color="auto"/>
              <w:right w:val="nil"/>
            </w:tcBorders>
            <w:shd w:val="clear" w:color="000000" w:fill="FFFFFF"/>
            <w:vAlign w:val="center"/>
            <w:hideMark/>
          </w:tcPr>
          <w:p w14:paraId="3C15FA1C" w14:textId="77777777" w:rsidR="00506B94" w:rsidRPr="00846EEE" w:rsidRDefault="00506B94" w:rsidP="00506B94">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£’000</w:t>
            </w:r>
          </w:p>
        </w:tc>
        <w:tc>
          <w:tcPr>
            <w:tcW w:w="1418" w:type="dxa"/>
            <w:tcBorders>
              <w:top w:val="nil"/>
              <w:left w:val="nil"/>
              <w:bottom w:val="single" w:sz="4" w:space="0" w:color="auto"/>
              <w:right w:val="nil"/>
            </w:tcBorders>
            <w:shd w:val="clear" w:color="000000" w:fill="FFFFFF"/>
            <w:vAlign w:val="center"/>
            <w:hideMark/>
          </w:tcPr>
          <w:p w14:paraId="3228D6F8" w14:textId="77777777" w:rsidR="00506B94" w:rsidRPr="00846EEE" w:rsidRDefault="00506B94" w:rsidP="00506B94">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£’000</w:t>
            </w:r>
          </w:p>
        </w:tc>
        <w:tc>
          <w:tcPr>
            <w:tcW w:w="1418" w:type="dxa"/>
            <w:tcBorders>
              <w:top w:val="nil"/>
              <w:left w:val="nil"/>
              <w:bottom w:val="single" w:sz="4" w:space="0" w:color="auto"/>
              <w:right w:val="nil"/>
            </w:tcBorders>
            <w:shd w:val="clear" w:color="000000" w:fill="FFFFFF"/>
            <w:vAlign w:val="center"/>
            <w:hideMark/>
          </w:tcPr>
          <w:p w14:paraId="63CBB6EB" w14:textId="77777777" w:rsidR="00506B94" w:rsidRPr="00846EEE" w:rsidRDefault="00506B94" w:rsidP="00506B94">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£’000</w:t>
            </w:r>
          </w:p>
        </w:tc>
      </w:tr>
      <w:tr w:rsidR="00551D5A" w:rsidRPr="00551D5A" w14:paraId="008BD1E2" w14:textId="77777777" w:rsidTr="00997EF7">
        <w:trPr>
          <w:trHeight w:val="199"/>
        </w:trPr>
        <w:tc>
          <w:tcPr>
            <w:tcW w:w="5103" w:type="dxa"/>
            <w:tcBorders>
              <w:top w:val="nil"/>
              <w:left w:val="nil"/>
              <w:bottom w:val="nil"/>
              <w:right w:val="nil"/>
            </w:tcBorders>
            <w:shd w:val="clear" w:color="000000" w:fill="FFFFFF"/>
            <w:vAlign w:val="center"/>
            <w:hideMark/>
          </w:tcPr>
          <w:p w14:paraId="28DF769A" w14:textId="77777777" w:rsidR="00506B94" w:rsidRPr="00846EEE" w:rsidRDefault="00506B94" w:rsidP="00997EF7">
            <w:pPr>
              <w:spacing w:after="0" w:line="240" w:lineRule="auto"/>
              <w:ind w:hanging="105"/>
              <w:jc w:val="both"/>
              <w:rPr>
                <w:rFonts w:asciiTheme="minorHAnsi" w:hAnsiTheme="minorHAnsi" w:cstheme="minorHAnsi"/>
                <w:b/>
                <w:bCs/>
                <w:sz w:val="18"/>
                <w:szCs w:val="18"/>
              </w:rPr>
            </w:pPr>
            <w:r w:rsidRPr="00846EEE">
              <w:rPr>
                <w:rFonts w:asciiTheme="minorHAnsi" w:hAnsiTheme="minorHAnsi" w:cstheme="minorHAnsi"/>
                <w:b/>
                <w:bCs/>
                <w:sz w:val="18"/>
                <w:szCs w:val="18"/>
                <w:lang w:val="x-none"/>
              </w:rPr>
              <w:t>Net cash flow from operating activities</w:t>
            </w:r>
          </w:p>
        </w:tc>
        <w:tc>
          <w:tcPr>
            <w:tcW w:w="1559" w:type="dxa"/>
            <w:tcBorders>
              <w:top w:val="nil"/>
              <w:left w:val="nil"/>
              <w:bottom w:val="nil"/>
              <w:right w:val="nil"/>
            </w:tcBorders>
            <w:shd w:val="clear" w:color="000000" w:fill="FFFFFF"/>
            <w:vAlign w:val="center"/>
            <w:hideMark/>
          </w:tcPr>
          <w:p w14:paraId="1FD5AF77" w14:textId="77777777" w:rsidR="00506B94" w:rsidRPr="00846EEE" w:rsidRDefault="00506B94" w:rsidP="00506B94">
            <w:pPr>
              <w:spacing w:after="0" w:line="240" w:lineRule="auto"/>
              <w:jc w:val="both"/>
              <w:rPr>
                <w:rFonts w:asciiTheme="minorHAnsi" w:hAnsiTheme="minorHAnsi" w:cstheme="minorHAnsi"/>
                <w:b/>
                <w:bCs/>
                <w:sz w:val="18"/>
                <w:szCs w:val="18"/>
              </w:rPr>
            </w:pPr>
            <w:r w:rsidRPr="00846EEE">
              <w:rPr>
                <w:rFonts w:asciiTheme="minorHAnsi" w:hAnsiTheme="minorHAnsi" w:cstheme="minorHAnsi"/>
                <w:b/>
                <w:bCs/>
                <w:sz w:val="18"/>
                <w:szCs w:val="18"/>
              </w:rPr>
              <w:t> </w:t>
            </w:r>
          </w:p>
        </w:tc>
        <w:tc>
          <w:tcPr>
            <w:tcW w:w="1418" w:type="dxa"/>
            <w:tcBorders>
              <w:top w:val="nil"/>
              <w:left w:val="nil"/>
              <w:bottom w:val="nil"/>
              <w:right w:val="nil"/>
            </w:tcBorders>
            <w:shd w:val="clear" w:color="000000" w:fill="FFFFFF"/>
            <w:noWrap/>
            <w:vAlign w:val="bottom"/>
            <w:hideMark/>
          </w:tcPr>
          <w:p w14:paraId="63B92093" w14:textId="77777777" w:rsidR="00506B94" w:rsidRPr="00846EEE" w:rsidRDefault="00506B94" w:rsidP="00506B94">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lang w:val="x-none"/>
              </w:rPr>
              <w:t> </w:t>
            </w:r>
          </w:p>
        </w:tc>
        <w:tc>
          <w:tcPr>
            <w:tcW w:w="1418" w:type="dxa"/>
            <w:tcBorders>
              <w:top w:val="nil"/>
              <w:left w:val="nil"/>
              <w:bottom w:val="nil"/>
              <w:right w:val="nil"/>
            </w:tcBorders>
            <w:shd w:val="clear" w:color="000000" w:fill="FFFFFF"/>
            <w:noWrap/>
            <w:vAlign w:val="bottom"/>
            <w:hideMark/>
          </w:tcPr>
          <w:p w14:paraId="50239805" w14:textId="77777777" w:rsidR="00506B94" w:rsidRPr="00846EEE" w:rsidRDefault="00506B94" w:rsidP="00506B94">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lang w:val="x-none"/>
              </w:rPr>
              <w:t> </w:t>
            </w:r>
          </w:p>
        </w:tc>
      </w:tr>
      <w:tr w:rsidR="00551D5A" w:rsidRPr="00551D5A" w14:paraId="2D640448" w14:textId="77777777" w:rsidTr="00997EF7">
        <w:trPr>
          <w:trHeight w:val="199"/>
        </w:trPr>
        <w:tc>
          <w:tcPr>
            <w:tcW w:w="5103" w:type="dxa"/>
            <w:tcBorders>
              <w:top w:val="nil"/>
              <w:left w:val="nil"/>
              <w:bottom w:val="nil"/>
              <w:right w:val="nil"/>
            </w:tcBorders>
            <w:shd w:val="clear" w:color="000000" w:fill="FFFFFF"/>
            <w:vAlign w:val="center"/>
            <w:hideMark/>
          </w:tcPr>
          <w:p w14:paraId="0EFF8B52" w14:textId="77777777" w:rsidR="00506B94" w:rsidRPr="00846EEE" w:rsidRDefault="00506B94" w:rsidP="00997EF7">
            <w:pPr>
              <w:spacing w:after="0" w:line="240" w:lineRule="auto"/>
              <w:ind w:hanging="105"/>
              <w:jc w:val="both"/>
              <w:rPr>
                <w:rFonts w:asciiTheme="minorHAnsi" w:hAnsiTheme="minorHAnsi" w:cstheme="minorHAnsi"/>
                <w:sz w:val="18"/>
                <w:szCs w:val="18"/>
              </w:rPr>
            </w:pPr>
            <w:r w:rsidRPr="00846EEE">
              <w:rPr>
                <w:rFonts w:asciiTheme="minorHAnsi" w:hAnsiTheme="minorHAnsi" w:cstheme="minorHAnsi"/>
                <w:sz w:val="18"/>
                <w:szCs w:val="18"/>
                <w:lang w:val="en-US"/>
              </w:rPr>
              <w:t>Profit for the year</w:t>
            </w:r>
          </w:p>
        </w:tc>
        <w:tc>
          <w:tcPr>
            <w:tcW w:w="1559" w:type="dxa"/>
            <w:tcBorders>
              <w:top w:val="nil"/>
              <w:left w:val="nil"/>
              <w:bottom w:val="nil"/>
              <w:right w:val="nil"/>
            </w:tcBorders>
            <w:shd w:val="clear" w:color="000000" w:fill="FFFFFF"/>
            <w:vAlign w:val="center"/>
            <w:hideMark/>
          </w:tcPr>
          <w:p w14:paraId="7C906F73" w14:textId="650DE7A3" w:rsidR="00506B94" w:rsidRPr="00846EEE" w:rsidRDefault="00506B94" w:rsidP="00997EF7">
            <w:pPr>
              <w:spacing w:after="0" w:line="240" w:lineRule="auto"/>
              <w:jc w:val="right"/>
              <w:rPr>
                <w:rFonts w:asciiTheme="minorHAnsi" w:hAnsiTheme="minorHAnsi" w:cstheme="minorHAnsi"/>
                <w:sz w:val="18"/>
                <w:szCs w:val="18"/>
              </w:rPr>
            </w:pPr>
            <w:r w:rsidRPr="00846EEE">
              <w:rPr>
                <w:rFonts w:asciiTheme="minorHAnsi" w:hAnsiTheme="minorHAnsi" w:cstheme="minorHAnsi"/>
                <w:sz w:val="18"/>
                <w:szCs w:val="18"/>
              </w:rPr>
              <w:t> </w:t>
            </w:r>
            <w:r w:rsidR="001E4197">
              <w:rPr>
                <w:rFonts w:asciiTheme="minorHAnsi" w:hAnsiTheme="minorHAnsi" w:cstheme="minorHAnsi"/>
                <w:sz w:val="18"/>
                <w:szCs w:val="18"/>
              </w:rPr>
              <w:t>7,280</w:t>
            </w:r>
          </w:p>
        </w:tc>
        <w:tc>
          <w:tcPr>
            <w:tcW w:w="1418" w:type="dxa"/>
            <w:tcBorders>
              <w:top w:val="nil"/>
              <w:left w:val="nil"/>
              <w:bottom w:val="nil"/>
              <w:right w:val="nil"/>
            </w:tcBorders>
            <w:shd w:val="clear" w:color="000000" w:fill="FFFFFF"/>
            <w:noWrap/>
            <w:vAlign w:val="bottom"/>
            <w:hideMark/>
          </w:tcPr>
          <w:p w14:paraId="4C108FFE" w14:textId="77777777" w:rsidR="00506B94" w:rsidRPr="00846EEE" w:rsidRDefault="00506B94" w:rsidP="00506B94">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lang w:val="en-US" w:bidi="en-US"/>
              </w:rPr>
              <w:t xml:space="preserve">           7,620 </w:t>
            </w:r>
          </w:p>
        </w:tc>
        <w:tc>
          <w:tcPr>
            <w:tcW w:w="1418" w:type="dxa"/>
            <w:tcBorders>
              <w:top w:val="nil"/>
              <w:left w:val="nil"/>
              <w:bottom w:val="nil"/>
              <w:right w:val="nil"/>
            </w:tcBorders>
            <w:shd w:val="clear" w:color="000000" w:fill="FFFFFF"/>
            <w:noWrap/>
            <w:vAlign w:val="bottom"/>
            <w:hideMark/>
          </w:tcPr>
          <w:p w14:paraId="3270D339" w14:textId="77777777" w:rsidR="00506B94" w:rsidRPr="00846EEE" w:rsidRDefault="00506B94" w:rsidP="00506B94">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lang w:val="x-none"/>
              </w:rPr>
              <w:t xml:space="preserve">   12,370 </w:t>
            </w:r>
          </w:p>
        </w:tc>
      </w:tr>
      <w:tr w:rsidR="00551D5A" w:rsidRPr="00551D5A" w14:paraId="51DE1BB0" w14:textId="77777777" w:rsidTr="00997EF7">
        <w:trPr>
          <w:trHeight w:val="199"/>
        </w:trPr>
        <w:tc>
          <w:tcPr>
            <w:tcW w:w="5103" w:type="dxa"/>
            <w:tcBorders>
              <w:top w:val="nil"/>
              <w:left w:val="nil"/>
              <w:bottom w:val="nil"/>
              <w:right w:val="nil"/>
            </w:tcBorders>
            <w:shd w:val="clear" w:color="000000" w:fill="FFFFFF"/>
            <w:vAlign w:val="center"/>
            <w:hideMark/>
          </w:tcPr>
          <w:p w14:paraId="7104F813" w14:textId="77777777" w:rsidR="00506B94" w:rsidRPr="00846EEE" w:rsidRDefault="00506B94" w:rsidP="00997EF7">
            <w:pPr>
              <w:spacing w:after="0" w:line="240" w:lineRule="auto"/>
              <w:ind w:hanging="105"/>
              <w:jc w:val="both"/>
              <w:rPr>
                <w:rFonts w:asciiTheme="minorHAnsi" w:hAnsiTheme="minorHAnsi" w:cstheme="minorHAnsi"/>
                <w:b/>
                <w:bCs/>
                <w:sz w:val="18"/>
                <w:szCs w:val="18"/>
              </w:rPr>
            </w:pPr>
            <w:r w:rsidRPr="00846EEE">
              <w:rPr>
                <w:rFonts w:asciiTheme="minorHAnsi" w:hAnsiTheme="minorHAnsi" w:cstheme="minorHAnsi"/>
                <w:b/>
                <w:bCs/>
                <w:sz w:val="18"/>
                <w:szCs w:val="18"/>
                <w:lang w:val="en-US"/>
              </w:rPr>
              <w:t>Adjustments for:</w:t>
            </w:r>
          </w:p>
        </w:tc>
        <w:tc>
          <w:tcPr>
            <w:tcW w:w="1559" w:type="dxa"/>
            <w:tcBorders>
              <w:top w:val="nil"/>
              <w:left w:val="nil"/>
              <w:bottom w:val="nil"/>
              <w:right w:val="nil"/>
            </w:tcBorders>
            <w:shd w:val="clear" w:color="000000" w:fill="FFFFFF"/>
            <w:vAlign w:val="center"/>
            <w:hideMark/>
          </w:tcPr>
          <w:p w14:paraId="66ADDA66" w14:textId="77777777" w:rsidR="00506B94" w:rsidRPr="00846EEE" w:rsidRDefault="00506B94" w:rsidP="00997EF7">
            <w:pPr>
              <w:spacing w:after="0" w:line="240" w:lineRule="auto"/>
              <w:jc w:val="right"/>
              <w:rPr>
                <w:rFonts w:asciiTheme="minorHAnsi" w:hAnsiTheme="minorHAnsi" w:cstheme="minorHAnsi"/>
                <w:b/>
                <w:bCs/>
                <w:sz w:val="18"/>
                <w:szCs w:val="18"/>
              </w:rPr>
            </w:pPr>
            <w:r w:rsidRPr="00846EEE">
              <w:rPr>
                <w:rFonts w:asciiTheme="minorHAnsi" w:hAnsiTheme="minorHAnsi" w:cstheme="minorHAnsi"/>
                <w:b/>
                <w:bCs/>
                <w:sz w:val="18"/>
                <w:szCs w:val="18"/>
              </w:rPr>
              <w:t> </w:t>
            </w:r>
          </w:p>
        </w:tc>
        <w:tc>
          <w:tcPr>
            <w:tcW w:w="1418" w:type="dxa"/>
            <w:tcBorders>
              <w:top w:val="nil"/>
              <w:left w:val="nil"/>
              <w:bottom w:val="nil"/>
              <w:right w:val="nil"/>
            </w:tcBorders>
            <w:shd w:val="clear" w:color="000000" w:fill="FFFFFF"/>
            <w:noWrap/>
            <w:vAlign w:val="bottom"/>
            <w:hideMark/>
          </w:tcPr>
          <w:p w14:paraId="36A071AB" w14:textId="77777777" w:rsidR="00506B94" w:rsidRPr="00846EEE" w:rsidRDefault="00506B94" w:rsidP="00506B94">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w:t>
            </w:r>
          </w:p>
        </w:tc>
        <w:tc>
          <w:tcPr>
            <w:tcW w:w="1418" w:type="dxa"/>
            <w:tcBorders>
              <w:top w:val="nil"/>
              <w:left w:val="nil"/>
              <w:bottom w:val="nil"/>
              <w:right w:val="nil"/>
            </w:tcBorders>
            <w:shd w:val="clear" w:color="000000" w:fill="FFFFFF"/>
            <w:noWrap/>
            <w:vAlign w:val="bottom"/>
            <w:hideMark/>
          </w:tcPr>
          <w:p w14:paraId="44357534" w14:textId="77777777" w:rsidR="00506B94" w:rsidRPr="00846EEE" w:rsidRDefault="00506B94" w:rsidP="00506B94">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lang w:val="en-US"/>
              </w:rPr>
              <w:t> </w:t>
            </w:r>
          </w:p>
        </w:tc>
      </w:tr>
      <w:tr w:rsidR="00551D5A" w:rsidRPr="00551D5A" w14:paraId="064D31AB" w14:textId="77777777" w:rsidTr="00997EF7">
        <w:trPr>
          <w:trHeight w:val="199"/>
        </w:trPr>
        <w:tc>
          <w:tcPr>
            <w:tcW w:w="5103" w:type="dxa"/>
            <w:tcBorders>
              <w:top w:val="nil"/>
              <w:left w:val="nil"/>
              <w:bottom w:val="nil"/>
              <w:right w:val="nil"/>
            </w:tcBorders>
            <w:shd w:val="clear" w:color="000000" w:fill="FFFFFF"/>
            <w:vAlign w:val="center"/>
            <w:hideMark/>
          </w:tcPr>
          <w:p w14:paraId="50D919EF" w14:textId="77777777" w:rsidR="00506B94" w:rsidRPr="00846EEE" w:rsidRDefault="00506B94" w:rsidP="00997EF7">
            <w:pPr>
              <w:spacing w:after="0" w:line="240" w:lineRule="auto"/>
              <w:ind w:hanging="105"/>
              <w:jc w:val="both"/>
              <w:rPr>
                <w:rFonts w:asciiTheme="minorHAnsi" w:hAnsiTheme="minorHAnsi" w:cstheme="minorHAnsi"/>
                <w:sz w:val="18"/>
                <w:szCs w:val="18"/>
              </w:rPr>
            </w:pPr>
            <w:r w:rsidRPr="00846EEE">
              <w:rPr>
                <w:rFonts w:asciiTheme="minorHAnsi" w:hAnsiTheme="minorHAnsi" w:cstheme="minorHAnsi"/>
                <w:sz w:val="18"/>
                <w:szCs w:val="18"/>
                <w:lang w:val="x-none"/>
              </w:rPr>
              <w:t>Finance costs</w:t>
            </w:r>
          </w:p>
        </w:tc>
        <w:tc>
          <w:tcPr>
            <w:tcW w:w="1559" w:type="dxa"/>
            <w:tcBorders>
              <w:top w:val="nil"/>
              <w:left w:val="nil"/>
              <w:bottom w:val="nil"/>
              <w:right w:val="nil"/>
            </w:tcBorders>
            <w:shd w:val="clear" w:color="000000" w:fill="FFFFFF"/>
            <w:vAlign w:val="center"/>
            <w:hideMark/>
          </w:tcPr>
          <w:p w14:paraId="33C4CE5A" w14:textId="60C24494" w:rsidR="00506B94" w:rsidRPr="00846EEE" w:rsidRDefault="001E4197" w:rsidP="00997EF7">
            <w:pPr>
              <w:spacing w:after="0" w:line="240" w:lineRule="auto"/>
              <w:jc w:val="right"/>
              <w:rPr>
                <w:rFonts w:asciiTheme="minorHAnsi" w:hAnsiTheme="minorHAnsi" w:cstheme="minorHAnsi"/>
                <w:sz w:val="18"/>
                <w:szCs w:val="18"/>
              </w:rPr>
            </w:pPr>
            <w:r>
              <w:rPr>
                <w:rFonts w:asciiTheme="minorHAnsi" w:hAnsiTheme="minorHAnsi" w:cstheme="minorHAnsi"/>
                <w:sz w:val="18"/>
                <w:szCs w:val="18"/>
              </w:rPr>
              <w:t>711</w:t>
            </w:r>
            <w:r w:rsidR="00506B94" w:rsidRPr="00846EEE">
              <w:rPr>
                <w:rFonts w:asciiTheme="minorHAnsi" w:hAnsiTheme="minorHAnsi" w:cstheme="minorHAnsi"/>
                <w:sz w:val="18"/>
                <w:szCs w:val="18"/>
              </w:rPr>
              <w:t> </w:t>
            </w:r>
          </w:p>
        </w:tc>
        <w:tc>
          <w:tcPr>
            <w:tcW w:w="1418" w:type="dxa"/>
            <w:tcBorders>
              <w:top w:val="nil"/>
              <w:left w:val="nil"/>
              <w:bottom w:val="nil"/>
              <w:right w:val="nil"/>
            </w:tcBorders>
            <w:shd w:val="clear" w:color="000000" w:fill="FFFFFF"/>
            <w:noWrap/>
            <w:vAlign w:val="bottom"/>
            <w:hideMark/>
          </w:tcPr>
          <w:p w14:paraId="202D1516" w14:textId="77777777" w:rsidR="00506B94" w:rsidRPr="00846EEE" w:rsidRDefault="00506B94" w:rsidP="00506B94">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lang w:val="en-US" w:bidi="en-US"/>
              </w:rPr>
              <w:t xml:space="preserve">              361 </w:t>
            </w:r>
          </w:p>
        </w:tc>
        <w:tc>
          <w:tcPr>
            <w:tcW w:w="1418" w:type="dxa"/>
            <w:tcBorders>
              <w:top w:val="nil"/>
              <w:left w:val="nil"/>
              <w:bottom w:val="nil"/>
              <w:right w:val="nil"/>
            </w:tcBorders>
            <w:shd w:val="clear" w:color="000000" w:fill="FFFFFF"/>
            <w:noWrap/>
            <w:vAlign w:val="bottom"/>
            <w:hideMark/>
          </w:tcPr>
          <w:p w14:paraId="7C8E9DEB" w14:textId="77777777" w:rsidR="00506B94" w:rsidRPr="00846EEE" w:rsidRDefault="00506B94" w:rsidP="00506B94">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lang w:val="x-none"/>
              </w:rPr>
              <w:t xml:space="preserve">        842 </w:t>
            </w:r>
          </w:p>
        </w:tc>
      </w:tr>
      <w:tr w:rsidR="00551D5A" w:rsidRPr="00551D5A" w14:paraId="5DB8AEB6" w14:textId="77777777" w:rsidTr="00997EF7">
        <w:trPr>
          <w:trHeight w:val="199"/>
        </w:trPr>
        <w:tc>
          <w:tcPr>
            <w:tcW w:w="5103" w:type="dxa"/>
            <w:tcBorders>
              <w:top w:val="nil"/>
              <w:left w:val="nil"/>
              <w:bottom w:val="nil"/>
              <w:right w:val="nil"/>
            </w:tcBorders>
            <w:shd w:val="clear" w:color="000000" w:fill="FFFFFF"/>
            <w:vAlign w:val="center"/>
            <w:hideMark/>
          </w:tcPr>
          <w:p w14:paraId="5A7712CF" w14:textId="77777777" w:rsidR="00506B94" w:rsidRPr="00846EEE" w:rsidRDefault="00506B94" w:rsidP="00997EF7">
            <w:pPr>
              <w:spacing w:after="0" w:line="240" w:lineRule="auto"/>
              <w:ind w:hanging="105"/>
              <w:jc w:val="both"/>
              <w:rPr>
                <w:rFonts w:asciiTheme="minorHAnsi" w:hAnsiTheme="minorHAnsi" w:cstheme="minorHAnsi"/>
                <w:sz w:val="18"/>
                <w:szCs w:val="18"/>
              </w:rPr>
            </w:pPr>
            <w:r w:rsidRPr="00846EEE">
              <w:rPr>
                <w:rFonts w:asciiTheme="minorHAnsi" w:hAnsiTheme="minorHAnsi" w:cstheme="minorHAnsi"/>
                <w:sz w:val="18"/>
                <w:szCs w:val="18"/>
                <w:lang w:val="x-none"/>
              </w:rPr>
              <w:t>Income tax expense</w:t>
            </w:r>
          </w:p>
        </w:tc>
        <w:tc>
          <w:tcPr>
            <w:tcW w:w="1559" w:type="dxa"/>
            <w:tcBorders>
              <w:top w:val="nil"/>
              <w:left w:val="nil"/>
              <w:bottom w:val="nil"/>
              <w:right w:val="nil"/>
            </w:tcBorders>
            <w:shd w:val="clear" w:color="000000" w:fill="FFFFFF"/>
            <w:vAlign w:val="center"/>
            <w:hideMark/>
          </w:tcPr>
          <w:p w14:paraId="2519770D" w14:textId="79730D40" w:rsidR="00506B94" w:rsidRPr="00846EEE" w:rsidRDefault="001E4197" w:rsidP="00997EF7">
            <w:pPr>
              <w:spacing w:after="0" w:line="240" w:lineRule="auto"/>
              <w:jc w:val="right"/>
              <w:rPr>
                <w:rFonts w:asciiTheme="minorHAnsi" w:hAnsiTheme="minorHAnsi" w:cstheme="minorHAnsi"/>
                <w:sz w:val="18"/>
                <w:szCs w:val="18"/>
              </w:rPr>
            </w:pPr>
            <w:r>
              <w:rPr>
                <w:rFonts w:asciiTheme="minorHAnsi" w:hAnsiTheme="minorHAnsi" w:cstheme="minorHAnsi"/>
                <w:sz w:val="18"/>
                <w:szCs w:val="18"/>
              </w:rPr>
              <w:t>1,978</w:t>
            </w:r>
            <w:r w:rsidR="00506B94" w:rsidRPr="00846EEE">
              <w:rPr>
                <w:rFonts w:asciiTheme="minorHAnsi" w:hAnsiTheme="minorHAnsi" w:cstheme="minorHAnsi"/>
                <w:sz w:val="18"/>
                <w:szCs w:val="18"/>
              </w:rPr>
              <w:t> </w:t>
            </w:r>
          </w:p>
        </w:tc>
        <w:tc>
          <w:tcPr>
            <w:tcW w:w="1418" w:type="dxa"/>
            <w:tcBorders>
              <w:top w:val="nil"/>
              <w:left w:val="nil"/>
              <w:bottom w:val="nil"/>
              <w:right w:val="nil"/>
            </w:tcBorders>
            <w:shd w:val="clear" w:color="000000" w:fill="FFFFFF"/>
            <w:noWrap/>
            <w:vAlign w:val="bottom"/>
            <w:hideMark/>
          </w:tcPr>
          <w:p w14:paraId="5CF8FE1F" w14:textId="77777777" w:rsidR="00506B94" w:rsidRPr="00846EEE" w:rsidRDefault="00506B94" w:rsidP="00506B94">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lang w:val="en-US" w:bidi="en-US"/>
              </w:rPr>
              <w:t xml:space="preserve">           2,150 </w:t>
            </w:r>
          </w:p>
        </w:tc>
        <w:tc>
          <w:tcPr>
            <w:tcW w:w="1418" w:type="dxa"/>
            <w:tcBorders>
              <w:top w:val="nil"/>
              <w:left w:val="nil"/>
              <w:bottom w:val="nil"/>
              <w:right w:val="nil"/>
            </w:tcBorders>
            <w:shd w:val="clear" w:color="000000" w:fill="FFFFFF"/>
            <w:noWrap/>
            <w:vAlign w:val="bottom"/>
            <w:hideMark/>
          </w:tcPr>
          <w:p w14:paraId="5739C147" w14:textId="77777777" w:rsidR="00506B94" w:rsidRPr="00846EEE" w:rsidRDefault="00506B94" w:rsidP="00506B94">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lang w:val="x-none"/>
              </w:rPr>
              <w:t xml:space="preserve">     3,069 </w:t>
            </w:r>
          </w:p>
        </w:tc>
      </w:tr>
      <w:tr w:rsidR="00551D5A" w:rsidRPr="00551D5A" w14:paraId="39FC1FE8" w14:textId="77777777" w:rsidTr="00997EF7">
        <w:trPr>
          <w:trHeight w:val="199"/>
        </w:trPr>
        <w:tc>
          <w:tcPr>
            <w:tcW w:w="5103" w:type="dxa"/>
            <w:tcBorders>
              <w:top w:val="nil"/>
              <w:left w:val="nil"/>
              <w:bottom w:val="nil"/>
              <w:right w:val="nil"/>
            </w:tcBorders>
            <w:shd w:val="clear" w:color="000000" w:fill="FFFFFF"/>
            <w:vAlign w:val="center"/>
            <w:hideMark/>
          </w:tcPr>
          <w:p w14:paraId="111367DE" w14:textId="77777777" w:rsidR="00506B94" w:rsidRPr="00846EEE" w:rsidRDefault="00506B94" w:rsidP="00997EF7">
            <w:pPr>
              <w:spacing w:after="0" w:line="240" w:lineRule="auto"/>
              <w:ind w:hanging="105"/>
              <w:jc w:val="both"/>
              <w:rPr>
                <w:rFonts w:asciiTheme="minorHAnsi" w:hAnsiTheme="minorHAnsi" w:cstheme="minorHAnsi"/>
                <w:sz w:val="18"/>
                <w:szCs w:val="18"/>
              </w:rPr>
            </w:pPr>
            <w:r w:rsidRPr="00846EEE">
              <w:rPr>
                <w:rFonts w:asciiTheme="minorHAnsi" w:hAnsiTheme="minorHAnsi" w:cstheme="minorHAnsi"/>
                <w:sz w:val="18"/>
                <w:szCs w:val="18"/>
                <w:lang w:val="x-none"/>
              </w:rPr>
              <w:t>Depreciation</w:t>
            </w:r>
          </w:p>
        </w:tc>
        <w:tc>
          <w:tcPr>
            <w:tcW w:w="1559" w:type="dxa"/>
            <w:tcBorders>
              <w:top w:val="nil"/>
              <w:left w:val="nil"/>
              <w:bottom w:val="nil"/>
              <w:right w:val="nil"/>
            </w:tcBorders>
            <w:shd w:val="clear" w:color="000000" w:fill="FFFFFF"/>
            <w:vAlign w:val="center"/>
            <w:hideMark/>
          </w:tcPr>
          <w:p w14:paraId="30846AC5" w14:textId="56047988" w:rsidR="00506B94" w:rsidRPr="00846EEE" w:rsidRDefault="001E4197" w:rsidP="00997EF7">
            <w:pPr>
              <w:spacing w:after="0" w:line="240" w:lineRule="auto"/>
              <w:jc w:val="right"/>
              <w:rPr>
                <w:rFonts w:asciiTheme="minorHAnsi" w:hAnsiTheme="minorHAnsi" w:cstheme="minorHAnsi"/>
                <w:sz w:val="18"/>
                <w:szCs w:val="18"/>
              </w:rPr>
            </w:pPr>
            <w:r>
              <w:rPr>
                <w:rFonts w:asciiTheme="minorHAnsi" w:hAnsiTheme="minorHAnsi" w:cstheme="minorHAnsi"/>
                <w:sz w:val="18"/>
                <w:szCs w:val="18"/>
              </w:rPr>
              <w:t>1,125</w:t>
            </w:r>
            <w:r w:rsidR="00506B94" w:rsidRPr="00846EEE">
              <w:rPr>
                <w:rFonts w:asciiTheme="minorHAnsi" w:hAnsiTheme="minorHAnsi" w:cstheme="minorHAnsi"/>
                <w:sz w:val="18"/>
                <w:szCs w:val="18"/>
              </w:rPr>
              <w:t> </w:t>
            </w:r>
          </w:p>
        </w:tc>
        <w:tc>
          <w:tcPr>
            <w:tcW w:w="1418" w:type="dxa"/>
            <w:tcBorders>
              <w:top w:val="nil"/>
              <w:left w:val="nil"/>
              <w:bottom w:val="nil"/>
              <w:right w:val="nil"/>
            </w:tcBorders>
            <w:shd w:val="clear" w:color="000000" w:fill="FFFFFF"/>
            <w:noWrap/>
            <w:vAlign w:val="bottom"/>
            <w:hideMark/>
          </w:tcPr>
          <w:p w14:paraId="6300C71B" w14:textId="77777777" w:rsidR="00506B94" w:rsidRPr="00846EEE" w:rsidRDefault="00506B94" w:rsidP="00506B94">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lang w:val="en-US" w:bidi="en-US"/>
              </w:rPr>
              <w:t xml:space="preserve">              977 </w:t>
            </w:r>
          </w:p>
        </w:tc>
        <w:tc>
          <w:tcPr>
            <w:tcW w:w="1418" w:type="dxa"/>
            <w:tcBorders>
              <w:top w:val="nil"/>
              <w:left w:val="nil"/>
              <w:bottom w:val="nil"/>
              <w:right w:val="nil"/>
            </w:tcBorders>
            <w:shd w:val="clear" w:color="000000" w:fill="FFFFFF"/>
            <w:noWrap/>
            <w:vAlign w:val="bottom"/>
            <w:hideMark/>
          </w:tcPr>
          <w:p w14:paraId="2FE331D9" w14:textId="77777777" w:rsidR="00506B94" w:rsidRPr="00846EEE" w:rsidRDefault="00506B94" w:rsidP="00506B94">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lang w:val="x-none"/>
              </w:rPr>
              <w:t xml:space="preserve">     2,044 </w:t>
            </w:r>
          </w:p>
        </w:tc>
      </w:tr>
      <w:tr w:rsidR="00551D5A" w:rsidRPr="00551D5A" w14:paraId="3013AAEE" w14:textId="77777777" w:rsidTr="00997EF7">
        <w:trPr>
          <w:trHeight w:val="199"/>
        </w:trPr>
        <w:tc>
          <w:tcPr>
            <w:tcW w:w="5103" w:type="dxa"/>
            <w:tcBorders>
              <w:top w:val="nil"/>
              <w:left w:val="nil"/>
              <w:bottom w:val="nil"/>
              <w:right w:val="nil"/>
            </w:tcBorders>
            <w:shd w:val="clear" w:color="000000" w:fill="FFFFFF"/>
            <w:vAlign w:val="center"/>
            <w:hideMark/>
          </w:tcPr>
          <w:p w14:paraId="1860EB77" w14:textId="77777777" w:rsidR="00506B94" w:rsidRPr="00846EEE" w:rsidRDefault="00506B94" w:rsidP="00997EF7">
            <w:pPr>
              <w:spacing w:after="0" w:line="240" w:lineRule="auto"/>
              <w:ind w:hanging="105"/>
              <w:jc w:val="both"/>
              <w:rPr>
                <w:rFonts w:asciiTheme="minorHAnsi" w:hAnsiTheme="minorHAnsi" w:cstheme="minorHAnsi"/>
                <w:sz w:val="18"/>
                <w:szCs w:val="18"/>
              </w:rPr>
            </w:pPr>
            <w:r w:rsidRPr="00846EEE">
              <w:rPr>
                <w:rFonts w:asciiTheme="minorHAnsi" w:hAnsiTheme="minorHAnsi" w:cstheme="minorHAnsi"/>
                <w:sz w:val="18"/>
                <w:szCs w:val="18"/>
              </w:rPr>
              <w:t>Amortisation</w:t>
            </w:r>
          </w:p>
        </w:tc>
        <w:tc>
          <w:tcPr>
            <w:tcW w:w="1559" w:type="dxa"/>
            <w:tcBorders>
              <w:top w:val="nil"/>
              <w:left w:val="nil"/>
              <w:bottom w:val="nil"/>
              <w:right w:val="nil"/>
            </w:tcBorders>
            <w:shd w:val="clear" w:color="000000" w:fill="FFFFFF"/>
            <w:vAlign w:val="center"/>
            <w:hideMark/>
          </w:tcPr>
          <w:p w14:paraId="5935E216" w14:textId="5575212C" w:rsidR="00506B94" w:rsidRPr="00846EEE" w:rsidRDefault="001E4197" w:rsidP="00997EF7">
            <w:pPr>
              <w:spacing w:after="0" w:line="240" w:lineRule="auto"/>
              <w:jc w:val="right"/>
              <w:rPr>
                <w:rFonts w:asciiTheme="minorHAnsi" w:hAnsiTheme="minorHAnsi" w:cstheme="minorHAnsi"/>
                <w:sz w:val="18"/>
                <w:szCs w:val="18"/>
              </w:rPr>
            </w:pPr>
            <w:r>
              <w:rPr>
                <w:rFonts w:asciiTheme="minorHAnsi" w:hAnsiTheme="minorHAnsi" w:cstheme="minorHAnsi"/>
                <w:sz w:val="18"/>
                <w:szCs w:val="18"/>
              </w:rPr>
              <w:t>11</w:t>
            </w:r>
            <w:r w:rsidR="00506B94" w:rsidRPr="00846EEE">
              <w:rPr>
                <w:rFonts w:asciiTheme="minorHAnsi" w:hAnsiTheme="minorHAnsi" w:cstheme="minorHAnsi"/>
                <w:sz w:val="18"/>
                <w:szCs w:val="18"/>
              </w:rPr>
              <w:t> </w:t>
            </w:r>
          </w:p>
        </w:tc>
        <w:tc>
          <w:tcPr>
            <w:tcW w:w="1418" w:type="dxa"/>
            <w:tcBorders>
              <w:top w:val="nil"/>
              <w:left w:val="nil"/>
              <w:bottom w:val="nil"/>
              <w:right w:val="nil"/>
            </w:tcBorders>
            <w:shd w:val="clear" w:color="000000" w:fill="FFFFFF"/>
            <w:noWrap/>
            <w:vAlign w:val="bottom"/>
            <w:hideMark/>
          </w:tcPr>
          <w:p w14:paraId="032F4621" w14:textId="77777777" w:rsidR="00506B94" w:rsidRPr="00846EEE" w:rsidRDefault="00506B94" w:rsidP="00506B94">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lang w:val="en-US" w:bidi="en-US"/>
              </w:rPr>
              <w:t xml:space="preserve">                11 </w:t>
            </w:r>
          </w:p>
        </w:tc>
        <w:tc>
          <w:tcPr>
            <w:tcW w:w="1418" w:type="dxa"/>
            <w:tcBorders>
              <w:top w:val="nil"/>
              <w:left w:val="nil"/>
              <w:bottom w:val="nil"/>
              <w:right w:val="nil"/>
            </w:tcBorders>
            <w:shd w:val="clear" w:color="000000" w:fill="FFFFFF"/>
            <w:noWrap/>
            <w:vAlign w:val="bottom"/>
            <w:hideMark/>
          </w:tcPr>
          <w:p w14:paraId="47A21530" w14:textId="77777777" w:rsidR="00506B94" w:rsidRPr="00846EEE" w:rsidRDefault="00506B94" w:rsidP="00506B94">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lang w:val="x-none"/>
              </w:rPr>
              <w:t xml:space="preserve">          22 </w:t>
            </w:r>
          </w:p>
        </w:tc>
      </w:tr>
      <w:tr w:rsidR="00551D5A" w:rsidRPr="00551D5A" w14:paraId="2996FCA2" w14:textId="77777777" w:rsidTr="00997EF7">
        <w:trPr>
          <w:trHeight w:val="199"/>
        </w:trPr>
        <w:tc>
          <w:tcPr>
            <w:tcW w:w="5103" w:type="dxa"/>
            <w:tcBorders>
              <w:top w:val="nil"/>
              <w:left w:val="nil"/>
              <w:bottom w:val="nil"/>
              <w:right w:val="nil"/>
            </w:tcBorders>
            <w:shd w:val="clear" w:color="000000" w:fill="FFFFFF"/>
            <w:vAlign w:val="center"/>
            <w:hideMark/>
          </w:tcPr>
          <w:p w14:paraId="7D914ACB" w14:textId="77777777" w:rsidR="00506B94" w:rsidRPr="00846EEE" w:rsidRDefault="00506B94" w:rsidP="00997EF7">
            <w:pPr>
              <w:spacing w:after="0" w:line="240" w:lineRule="auto"/>
              <w:ind w:hanging="105"/>
              <w:jc w:val="both"/>
              <w:rPr>
                <w:rFonts w:asciiTheme="minorHAnsi" w:hAnsiTheme="minorHAnsi" w:cstheme="minorHAnsi"/>
                <w:sz w:val="18"/>
                <w:szCs w:val="18"/>
              </w:rPr>
            </w:pPr>
            <w:r w:rsidRPr="00846EEE">
              <w:rPr>
                <w:rFonts w:asciiTheme="minorHAnsi" w:hAnsiTheme="minorHAnsi" w:cstheme="minorHAnsi"/>
                <w:sz w:val="18"/>
                <w:szCs w:val="18"/>
              </w:rPr>
              <w:t>Derivative financial instruments</w:t>
            </w:r>
          </w:p>
        </w:tc>
        <w:tc>
          <w:tcPr>
            <w:tcW w:w="1559" w:type="dxa"/>
            <w:tcBorders>
              <w:top w:val="nil"/>
              <w:left w:val="nil"/>
              <w:bottom w:val="nil"/>
              <w:right w:val="nil"/>
            </w:tcBorders>
            <w:shd w:val="clear" w:color="000000" w:fill="FFFFFF"/>
            <w:vAlign w:val="center"/>
            <w:hideMark/>
          </w:tcPr>
          <w:p w14:paraId="49EF41E2" w14:textId="5795C54F" w:rsidR="00506B94" w:rsidRPr="00846EEE" w:rsidRDefault="00B91782" w:rsidP="00997EF7">
            <w:pPr>
              <w:spacing w:after="0" w:line="240" w:lineRule="auto"/>
              <w:jc w:val="right"/>
              <w:rPr>
                <w:rFonts w:asciiTheme="minorHAnsi" w:hAnsiTheme="minorHAnsi" w:cstheme="minorHAnsi"/>
                <w:sz w:val="18"/>
                <w:szCs w:val="18"/>
              </w:rPr>
            </w:pPr>
            <w:r>
              <w:rPr>
                <w:rFonts w:asciiTheme="minorHAnsi" w:hAnsiTheme="minorHAnsi" w:cstheme="minorHAnsi"/>
                <w:sz w:val="18"/>
                <w:szCs w:val="18"/>
              </w:rPr>
              <w:t>(4)</w:t>
            </w:r>
            <w:r w:rsidR="00506B94" w:rsidRPr="00846EEE">
              <w:rPr>
                <w:rFonts w:asciiTheme="minorHAnsi" w:hAnsiTheme="minorHAnsi" w:cstheme="minorHAnsi"/>
                <w:sz w:val="18"/>
                <w:szCs w:val="18"/>
              </w:rPr>
              <w:t> </w:t>
            </w:r>
          </w:p>
        </w:tc>
        <w:tc>
          <w:tcPr>
            <w:tcW w:w="1418" w:type="dxa"/>
            <w:tcBorders>
              <w:top w:val="nil"/>
              <w:left w:val="nil"/>
              <w:bottom w:val="nil"/>
              <w:right w:val="nil"/>
            </w:tcBorders>
            <w:shd w:val="clear" w:color="000000" w:fill="FFFFFF"/>
            <w:noWrap/>
            <w:vAlign w:val="bottom"/>
            <w:hideMark/>
          </w:tcPr>
          <w:p w14:paraId="7ABF69EB" w14:textId="77777777" w:rsidR="00506B94" w:rsidRPr="00846EEE" w:rsidRDefault="00506B94" w:rsidP="00506B94">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lang w:val="en-US" w:bidi="en-US"/>
              </w:rPr>
              <w:t xml:space="preserve">              118 </w:t>
            </w:r>
          </w:p>
        </w:tc>
        <w:tc>
          <w:tcPr>
            <w:tcW w:w="1418" w:type="dxa"/>
            <w:tcBorders>
              <w:top w:val="nil"/>
              <w:left w:val="nil"/>
              <w:bottom w:val="nil"/>
              <w:right w:val="nil"/>
            </w:tcBorders>
            <w:shd w:val="clear" w:color="000000" w:fill="FFFFFF"/>
            <w:noWrap/>
            <w:vAlign w:val="bottom"/>
            <w:hideMark/>
          </w:tcPr>
          <w:p w14:paraId="1C4F4F04" w14:textId="77777777" w:rsidR="00506B94" w:rsidRPr="00846EEE" w:rsidRDefault="00506B94" w:rsidP="00506B94">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lang w:val="x-none"/>
              </w:rPr>
              <w:t xml:space="preserve">        274 </w:t>
            </w:r>
          </w:p>
        </w:tc>
      </w:tr>
      <w:tr w:rsidR="00551D5A" w:rsidRPr="00551D5A" w14:paraId="324A2C75" w14:textId="77777777" w:rsidTr="00997EF7">
        <w:trPr>
          <w:trHeight w:val="199"/>
        </w:trPr>
        <w:tc>
          <w:tcPr>
            <w:tcW w:w="5103" w:type="dxa"/>
            <w:tcBorders>
              <w:top w:val="nil"/>
              <w:left w:val="nil"/>
              <w:bottom w:val="nil"/>
              <w:right w:val="nil"/>
            </w:tcBorders>
            <w:shd w:val="clear" w:color="000000" w:fill="FFFFFF"/>
            <w:vAlign w:val="center"/>
            <w:hideMark/>
          </w:tcPr>
          <w:p w14:paraId="2066A4D3" w14:textId="77777777" w:rsidR="00506B94" w:rsidRPr="00846EEE" w:rsidRDefault="00506B94" w:rsidP="00997EF7">
            <w:pPr>
              <w:spacing w:after="0" w:line="240" w:lineRule="auto"/>
              <w:ind w:hanging="105"/>
              <w:jc w:val="both"/>
              <w:rPr>
                <w:rFonts w:asciiTheme="minorHAnsi" w:hAnsiTheme="minorHAnsi" w:cstheme="minorHAnsi"/>
                <w:sz w:val="18"/>
                <w:szCs w:val="18"/>
              </w:rPr>
            </w:pPr>
            <w:r w:rsidRPr="00846EEE">
              <w:rPr>
                <w:rFonts w:asciiTheme="minorHAnsi" w:hAnsiTheme="minorHAnsi" w:cstheme="minorHAnsi"/>
                <w:sz w:val="18"/>
                <w:szCs w:val="18"/>
                <w:lang w:val="x-none"/>
              </w:rPr>
              <w:t>Share-based payments</w:t>
            </w:r>
          </w:p>
        </w:tc>
        <w:tc>
          <w:tcPr>
            <w:tcW w:w="1559" w:type="dxa"/>
            <w:tcBorders>
              <w:top w:val="nil"/>
              <w:left w:val="nil"/>
              <w:bottom w:val="nil"/>
              <w:right w:val="nil"/>
            </w:tcBorders>
            <w:shd w:val="clear" w:color="000000" w:fill="FFFFFF"/>
            <w:vAlign w:val="center"/>
            <w:hideMark/>
          </w:tcPr>
          <w:p w14:paraId="1CCE018E" w14:textId="1D2C95E7" w:rsidR="00506B94" w:rsidRPr="00846EEE" w:rsidRDefault="001E4197" w:rsidP="00997EF7">
            <w:pPr>
              <w:spacing w:after="0" w:line="240" w:lineRule="auto"/>
              <w:jc w:val="right"/>
              <w:rPr>
                <w:rFonts w:asciiTheme="minorHAnsi" w:hAnsiTheme="minorHAnsi" w:cstheme="minorHAnsi"/>
                <w:sz w:val="18"/>
                <w:szCs w:val="18"/>
              </w:rPr>
            </w:pPr>
            <w:r>
              <w:rPr>
                <w:rFonts w:asciiTheme="minorHAnsi" w:hAnsiTheme="minorHAnsi" w:cstheme="minorHAnsi"/>
                <w:sz w:val="18"/>
                <w:szCs w:val="18"/>
              </w:rPr>
              <w:t>128</w:t>
            </w:r>
            <w:r w:rsidR="00506B94" w:rsidRPr="00846EEE">
              <w:rPr>
                <w:rFonts w:asciiTheme="minorHAnsi" w:hAnsiTheme="minorHAnsi" w:cstheme="minorHAnsi"/>
                <w:sz w:val="18"/>
                <w:szCs w:val="18"/>
              </w:rPr>
              <w:t> </w:t>
            </w:r>
          </w:p>
        </w:tc>
        <w:tc>
          <w:tcPr>
            <w:tcW w:w="1418" w:type="dxa"/>
            <w:tcBorders>
              <w:top w:val="nil"/>
              <w:left w:val="nil"/>
              <w:bottom w:val="nil"/>
              <w:right w:val="nil"/>
            </w:tcBorders>
            <w:shd w:val="clear" w:color="000000" w:fill="FFFFFF"/>
            <w:noWrap/>
            <w:vAlign w:val="bottom"/>
            <w:hideMark/>
          </w:tcPr>
          <w:p w14:paraId="261E6254" w14:textId="77777777" w:rsidR="00506B94" w:rsidRPr="00846EEE" w:rsidRDefault="00506B94" w:rsidP="00506B94">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lang w:val="en-US" w:bidi="en-US"/>
              </w:rPr>
              <w:t xml:space="preserve">              144 </w:t>
            </w:r>
          </w:p>
        </w:tc>
        <w:tc>
          <w:tcPr>
            <w:tcW w:w="1418" w:type="dxa"/>
            <w:tcBorders>
              <w:top w:val="nil"/>
              <w:left w:val="nil"/>
              <w:bottom w:val="nil"/>
              <w:right w:val="nil"/>
            </w:tcBorders>
            <w:shd w:val="clear" w:color="000000" w:fill="FFFFFF"/>
            <w:noWrap/>
            <w:vAlign w:val="bottom"/>
            <w:hideMark/>
          </w:tcPr>
          <w:p w14:paraId="76AEFDC4" w14:textId="77777777" w:rsidR="00506B94" w:rsidRPr="00846EEE" w:rsidRDefault="00506B94" w:rsidP="00506B94">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lang w:val="x-none"/>
              </w:rPr>
              <w:t xml:space="preserve">        403 </w:t>
            </w:r>
          </w:p>
        </w:tc>
      </w:tr>
      <w:tr w:rsidR="00551D5A" w:rsidRPr="00551D5A" w14:paraId="061D7687" w14:textId="77777777" w:rsidTr="00997EF7">
        <w:trPr>
          <w:trHeight w:val="199"/>
        </w:trPr>
        <w:tc>
          <w:tcPr>
            <w:tcW w:w="5103" w:type="dxa"/>
            <w:tcBorders>
              <w:top w:val="nil"/>
              <w:left w:val="nil"/>
              <w:bottom w:val="nil"/>
              <w:right w:val="nil"/>
            </w:tcBorders>
            <w:shd w:val="clear" w:color="000000" w:fill="FFFFFF"/>
            <w:vAlign w:val="center"/>
            <w:hideMark/>
          </w:tcPr>
          <w:p w14:paraId="298126AE" w14:textId="77777777" w:rsidR="00506B94" w:rsidRPr="00846EEE" w:rsidRDefault="00506B94" w:rsidP="00997EF7">
            <w:pPr>
              <w:spacing w:after="0" w:line="240" w:lineRule="auto"/>
              <w:ind w:hanging="105"/>
              <w:jc w:val="both"/>
              <w:rPr>
                <w:rFonts w:asciiTheme="minorHAnsi" w:hAnsiTheme="minorHAnsi" w:cstheme="minorHAnsi"/>
                <w:b/>
                <w:bCs/>
                <w:sz w:val="18"/>
                <w:szCs w:val="18"/>
              </w:rPr>
            </w:pPr>
            <w:r w:rsidRPr="00846EEE">
              <w:rPr>
                <w:rFonts w:asciiTheme="minorHAnsi" w:hAnsiTheme="minorHAnsi" w:cstheme="minorHAnsi"/>
                <w:b/>
                <w:bCs/>
                <w:sz w:val="18"/>
                <w:szCs w:val="18"/>
                <w:lang w:val="en-US"/>
              </w:rPr>
              <w:t>Working capital adjustments</w:t>
            </w:r>
          </w:p>
        </w:tc>
        <w:tc>
          <w:tcPr>
            <w:tcW w:w="1559" w:type="dxa"/>
            <w:tcBorders>
              <w:top w:val="nil"/>
              <w:left w:val="nil"/>
              <w:bottom w:val="nil"/>
              <w:right w:val="nil"/>
            </w:tcBorders>
            <w:shd w:val="clear" w:color="000000" w:fill="FFFFFF"/>
            <w:vAlign w:val="center"/>
            <w:hideMark/>
          </w:tcPr>
          <w:p w14:paraId="5AB5A1CC" w14:textId="77777777" w:rsidR="00506B94" w:rsidRPr="00846EEE" w:rsidRDefault="00506B94" w:rsidP="00997EF7">
            <w:pPr>
              <w:spacing w:after="0" w:line="240" w:lineRule="auto"/>
              <w:jc w:val="right"/>
              <w:rPr>
                <w:rFonts w:asciiTheme="minorHAnsi" w:hAnsiTheme="minorHAnsi" w:cstheme="minorHAnsi"/>
                <w:b/>
                <w:bCs/>
                <w:sz w:val="18"/>
                <w:szCs w:val="18"/>
              </w:rPr>
            </w:pPr>
            <w:r w:rsidRPr="00846EEE">
              <w:rPr>
                <w:rFonts w:asciiTheme="minorHAnsi" w:hAnsiTheme="minorHAnsi" w:cstheme="minorHAnsi"/>
                <w:b/>
                <w:bCs/>
                <w:sz w:val="18"/>
                <w:szCs w:val="18"/>
              </w:rPr>
              <w:t> </w:t>
            </w:r>
          </w:p>
        </w:tc>
        <w:tc>
          <w:tcPr>
            <w:tcW w:w="1418" w:type="dxa"/>
            <w:tcBorders>
              <w:top w:val="nil"/>
              <w:left w:val="nil"/>
              <w:bottom w:val="nil"/>
              <w:right w:val="nil"/>
            </w:tcBorders>
            <w:shd w:val="clear" w:color="000000" w:fill="FFFFFF"/>
            <w:noWrap/>
            <w:vAlign w:val="bottom"/>
            <w:hideMark/>
          </w:tcPr>
          <w:p w14:paraId="050CFEFB" w14:textId="77777777" w:rsidR="00506B94" w:rsidRPr="00846EEE" w:rsidRDefault="00506B94" w:rsidP="00506B94">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w:t>
            </w:r>
          </w:p>
        </w:tc>
        <w:tc>
          <w:tcPr>
            <w:tcW w:w="1418" w:type="dxa"/>
            <w:tcBorders>
              <w:top w:val="nil"/>
              <w:left w:val="nil"/>
              <w:bottom w:val="nil"/>
              <w:right w:val="nil"/>
            </w:tcBorders>
            <w:shd w:val="clear" w:color="000000" w:fill="FFFFFF"/>
            <w:noWrap/>
            <w:vAlign w:val="bottom"/>
            <w:hideMark/>
          </w:tcPr>
          <w:p w14:paraId="5E9E9DED" w14:textId="77777777" w:rsidR="00506B94" w:rsidRPr="00846EEE" w:rsidRDefault="00506B94" w:rsidP="00506B94">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lang w:val="en-US"/>
              </w:rPr>
              <w:t> </w:t>
            </w:r>
          </w:p>
        </w:tc>
      </w:tr>
      <w:tr w:rsidR="00551D5A" w:rsidRPr="00551D5A" w14:paraId="5862DDBB" w14:textId="77777777" w:rsidTr="00997EF7">
        <w:trPr>
          <w:trHeight w:val="199"/>
        </w:trPr>
        <w:tc>
          <w:tcPr>
            <w:tcW w:w="5103" w:type="dxa"/>
            <w:tcBorders>
              <w:top w:val="nil"/>
              <w:left w:val="nil"/>
              <w:bottom w:val="nil"/>
              <w:right w:val="nil"/>
            </w:tcBorders>
            <w:shd w:val="clear" w:color="000000" w:fill="FFFFFF"/>
            <w:vAlign w:val="center"/>
            <w:hideMark/>
          </w:tcPr>
          <w:p w14:paraId="3358BBF6" w14:textId="3726E4B9" w:rsidR="00506B94" w:rsidRPr="00846EEE" w:rsidRDefault="001E4197" w:rsidP="00997EF7">
            <w:pPr>
              <w:spacing w:after="0" w:line="240" w:lineRule="auto"/>
              <w:ind w:hanging="105"/>
              <w:jc w:val="both"/>
              <w:rPr>
                <w:rFonts w:asciiTheme="minorHAnsi" w:hAnsiTheme="minorHAnsi" w:cstheme="minorHAnsi"/>
                <w:sz w:val="18"/>
                <w:szCs w:val="18"/>
              </w:rPr>
            </w:pPr>
            <w:r>
              <w:rPr>
                <w:rFonts w:asciiTheme="minorHAnsi" w:hAnsiTheme="minorHAnsi" w:cstheme="minorHAnsi"/>
                <w:sz w:val="18"/>
                <w:szCs w:val="18"/>
                <w:lang w:val="en-US"/>
              </w:rPr>
              <w:t>Decrease/</w:t>
            </w:r>
            <w:r w:rsidR="00506B94" w:rsidRPr="00846EEE">
              <w:rPr>
                <w:rFonts w:asciiTheme="minorHAnsi" w:hAnsiTheme="minorHAnsi" w:cstheme="minorHAnsi"/>
                <w:sz w:val="18"/>
                <w:szCs w:val="18"/>
                <w:lang w:val="en-US"/>
              </w:rPr>
              <w:t>(</w:t>
            </w:r>
            <w:r>
              <w:rPr>
                <w:rFonts w:asciiTheme="minorHAnsi" w:hAnsiTheme="minorHAnsi" w:cstheme="minorHAnsi"/>
                <w:sz w:val="18"/>
                <w:szCs w:val="18"/>
                <w:lang w:val="en-US"/>
              </w:rPr>
              <w:t>i</w:t>
            </w:r>
            <w:r w:rsidR="00506B94" w:rsidRPr="00846EEE">
              <w:rPr>
                <w:rFonts w:asciiTheme="minorHAnsi" w:hAnsiTheme="minorHAnsi" w:cstheme="minorHAnsi"/>
                <w:sz w:val="18"/>
                <w:szCs w:val="18"/>
                <w:lang w:val="en-US"/>
              </w:rPr>
              <w:t>ncrease) in inventories</w:t>
            </w:r>
          </w:p>
        </w:tc>
        <w:tc>
          <w:tcPr>
            <w:tcW w:w="1559" w:type="dxa"/>
            <w:tcBorders>
              <w:top w:val="nil"/>
              <w:left w:val="nil"/>
              <w:bottom w:val="nil"/>
              <w:right w:val="nil"/>
            </w:tcBorders>
            <w:shd w:val="clear" w:color="000000" w:fill="FFFFFF"/>
            <w:vAlign w:val="center"/>
            <w:hideMark/>
          </w:tcPr>
          <w:p w14:paraId="6E2F9891" w14:textId="54300148" w:rsidR="00506B94" w:rsidRPr="00846EEE" w:rsidRDefault="001E4197" w:rsidP="00997EF7">
            <w:pPr>
              <w:spacing w:after="0" w:line="240" w:lineRule="auto"/>
              <w:jc w:val="right"/>
              <w:rPr>
                <w:rFonts w:asciiTheme="minorHAnsi" w:hAnsiTheme="minorHAnsi" w:cstheme="minorHAnsi"/>
                <w:sz w:val="18"/>
                <w:szCs w:val="18"/>
              </w:rPr>
            </w:pPr>
            <w:r>
              <w:rPr>
                <w:rFonts w:asciiTheme="minorHAnsi" w:hAnsiTheme="minorHAnsi" w:cstheme="minorHAnsi"/>
                <w:sz w:val="18"/>
                <w:szCs w:val="18"/>
              </w:rPr>
              <w:t>1,87</w:t>
            </w:r>
            <w:r w:rsidR="00D71434">
              <w:rPr>
                <w:rFonts w:asciiTheme="minorHAnsi" w:hAnsiTheme="minorHAnsi" w:cstheme="minorHAnsi"/>
                <w:sz w:val="18"/>
                <w:szCs w:val="18"/>
              </w:rPr>
              <w:t>2</w:t>
            </w:r>
            <w:r w:rsidR="00506B94" w:rsidRPr="00846EEE">
              <w:rPr>
                <w:rFonts w:asciiTheme="minorHAnsi" w:hAnsiTheme="minorHAnsi" w:cstheme="minorHAnsi"/>
                <w:sz w:val="18"/>
                <w:szCs w:val="18"/>
              </w:rPr>
              <w:t> </w:t>
            </w:r>
          </w:p>
        </w:tc>
        <w:tc>
          <w:tcPr>
            <w:tcW w:w="1418" w:type="dxa"/>
            <w:tcBorders>
              <w:top w:val="nil"/>
              <w:left w:val="nil"/>
              <w:bottom w:val="nil"/>
              <w:right w:val="nil"/>
            </w:tcBorders>
            <w:shd w:val="clear" w:color="000000" w:fill="FFFFFF"/>
            <w:noWrap/>
            <w:vAlign w:val="bottom"/>
            <w:hideMark/>
          </w:tcPr>
          <w:p w14:paraId="32FCE877" w14:textId="77777777" w:rsidR="00506B94" w:rsidRPr="00846EEE" w:rsidRDefault="00506B94" w:rsidP="00506B94">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lang w:val="en-US" w:bidi="en-US"/>
              </w:rPr>
              <w:t xml:space="preserve">         (5,419)</w:t>
            </w:r>
          </w:p>
        </w:tc>
        <w:tc>
          <w:tcPr>
            <w:tcW w:w="1418" w:type="dxa"/>
            <w:tcBorders>
              <w:top w:val="nil"/>
              <w:left w:val="nil"/>
              <w:bottom w:val="nil"/>
              <w:right w:val="nil"/>
            </w:tcBorders>
            <w:shd w:val="clear" w:color="000000" w:fill="FFFFFF"/>
            <w:noWrap/>
            <w:vAlign w:val="bottom"/>
            <w:hideMark/>
          </w:tcPr>
          <w:p w14:paraId="2B6EE563" w14:textId="77777777" w:rsidR="00506B94" w:rsidRPr="00846EEE" w:rsidRDefault="00506B94" w:rsidP="00506B94">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lang w:val="x-none"/>
              </w:rPr>
              <w:t xml:space="preserve">    (7,721)</w:t>
            </w:r>
          </w:p>
        </w:tc>
      </w:tr>
      <w:tr w:rsidR="00551D5A" w:rsidRPr="00551D5A" w14:paraId="4FA0A48D" w14:textId="77777777" w:rsidTr="00997EF7">
        <w:trPr>
          <w:trHeight w:val="199"/>
        </w:trPr>
        <w:tc>
          <w:tcPr>
            <w:tcW w:w="5103" w:type="dxa"/>
            <w:tcBorders>
              <w:top w:val="nil"/>
              <w:left w:val="nil"/>
              <w:bottom w:val="nil"/>
              <w:right w:val="nil"/>
            </w:tcBorders>
            <w:shd w:val="clear" w:color="000000" w:fill="FFFFFF"/>
            <w:vAlign w:val="center"/>
            <w:hideMark/>
          </w:tcPr>
          <w:p w14:paraId="63E135CF" w14:textId="77777777" w:rsidR="00506B94" w:rsidRPr="00846EEE" w:rsidRDefault="00506B94" w:rsidP="00997EF7">
            <w:pPr>
              <w:spacing w:after="0" w:line="240" w:lineRule="auto"/>
              <w:ind w:hanging="105"/>
              <w:jc w:val="both"/>
              <w:rPr>
                <w:rFonts w:asciiTheme="minorHAnsi" w:hAnsiTheme="minorHAnsi" w:cstheme="minorHAnsi"/>
                <w:sz w:val="18"/>
                <w:szCs w:val="18"/>
              </w:rPr>
            </w:pPr>
            <w:r w:rsidRPr="00846EEE">
              <w:rPr>
                <w:rFonts w:asciiTheme="minorHAnsi" w:hAnsiTheme="minorHAnsi" w:cstheme="minorHAnsi"/>
                <w:sz w:val="18"/>
                <w:szCs w:val="18"/>
                <w:lang w:val="en-US"/>
              </w:rPr>
              <w:t>(Increase) in trade and other receivables</w:t>
            </w:r>
          </w:p>
        </w:tc>
        <w:tc>
          <w:tcPr>
            <w:tcW w:w="1559" w:type="dxa"/>
            <w:tcBorders>
              <w:top w:val="nil"/>
              <w:left w:val="nil"/>
              <w:bottom w:val="nil"/>
              <w:right w:val="nil"/>
            </w:tcBorders>
            <w:shd w:val="clear" w:color="000000" w:fill="FFFFFF"/>
            <w:vAlign w:val="center"/>
            <w:hideMark/>
          </w:tcPr>
          <w:p w14:paraId="51DA2F19" w14:textId="50AE13BA" w:rsidR="00506B94" w:rsidRPr="00846EEE" w:rsidRDefault="001E4197" w:rsidP="00997EF7">
            <w:pPr>
              <w:spacing w:after="0" w:line="240" w:lineRule="auto"/>
              <w:jc w:val="right"/>
              <w:rPr>
                <w:rFonts w:asciiTheme="minorHAnsi" w:hAnsiTheme="minorHAnsi" w:cstheme="minorHAnsi"/>
                <w:sz w:val="18"/>
                <w:szCs w:val="18"/>
              </w:rPr>
            </w:pPr>
            <w:r>
              <w:rPr>
                <w:rFonts w:asciiTheme="minorHAnsi" w:hAnsiTheme="minorHAnsi" w:cstheme="minorHAnsi"/>
                <w:sz w:val="18"/>
                <w:szCs w:val="18"/>
              </w:rPr>
              <w:t>(</w:t>
            </w:r>
            <w:r w:rsidR="00D71434">
              <w:rPr>
                <w:rFonts w:asciiTheme="minorHAnsi" w:hAnsiTheme="minorHAnsi" w:cstheme="minorHAnsi"/>
                <w:sz w:val="18"/>
                <w:szCs w:val="18"/>
              </w:rPr>
              <w:t>2,129</w:t>
            </w:r>
            <w:r>
              <w:rPr>
                <w:rFonts w:asciiTheme="minorHAnsi" w:hAnsiTheme="minorHAnsi" w:cstheme="minorHAnsi"/>
                <w:sz w:val="18"/>
                <w:szCs w:val="18"/>
              </w:rPr>
              <w:t>)</w:t>
            </w:r>
            <w:r w:rsidR="00506B94" w:rsidRPr="00846EEE">
              <w:rPr>
                <w:rFonts w:asciiTheme="minorHAnsi" w:hAnsiTheme="minorHAnsi" w:cstheme="minorHAnsi"/>
                <w:sz w:val="18"/>
                <w:szCs w:val="18"/>
              </w:rPr>
              <w:t> </w:t>
            </w:r>
          </w:p>
        </w:tc>
        <w:tc>
          <w:tcPr>
            <w:tcW w:w="1418" w:type="dxa"/>
            <w:tcBorders>
              <w:top w:val="nil"/>
              <w:left w:val="nil"/>
              <w:bottom w:val="nil"/>
              <w:right w:val="nil"/>
            </w:tcBorders>
            <w:shd w:val="clear" w:color="000000" w:fill="FFFFFF"/>
            <w:noWrap/>
            <w:vAlign w:val="bottom"/>
            <w:hideMark/>
          </w:tcPr>
          <w:p w14:paraId="3A4DB750" w14:textId="77777777" w:rsidR="00506B94" w:rsidRPr="00846EEE" w:rsidRDefault="00506B94" w:rsidP="00506B94">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lang w:val="en-US" w:bidi="en-US"/>
              </w:rPr>
              <w:t xml:space="preserve">       (11,208)</w:t>
            </w:r>
          </w:p>
        </w:tc>
        <w:tc>
          <w:tcPr>
            <w:tcW w:w="1418" w:type="dxa"/>
            <w:tcBorders>
              <w:top w:val="nil"/>
              <w:left w:val="nil"/>
              <w:bottom w:val="nil"/>
              <w:right w:val="nil"/>
            </w:tcBorders>
            <w:shd w:val="clear" w:color="000000" w:fill="FFFFFF"/>
            <w:noWrap/>
            <w:vAlign w:val="bottom"/>
            <w:hideMark/>
          </w:tcPr>
          <w:p w14:paraId="527E3ABF" w14:textId="77777777" w:rsidR="00506B94" w:rsidRPr="00846EEE" w:rsidRDefault="00506B94" w:rsidP="00506B94">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lang w:val="x-none"/>
              </w:rPr>
              <w:t xml:space="preserve">    (5,649)</w:t>
            </w:r>
          </w:p>
        </w:tc>
      </w:tr>
      <w:tr w:rsidR="00551D5A" w:rsidRPr="00551D5A" w14:paraId="6DB187D1" w14:textId="77777777" w:rsidTr="00997EF7">
        <w:trPr>
          <w:trHeight w:val="199"/>
        </w:trPr>
        <w:tc>
          <w:tcPr>
            <w:tcW w:w="5103" w:type="dxa"/>
            <w:tcBorders>
              <w:top w:val="nil"/>
              <w:left w:val="nil"/>
              <w:bottom w:val="nil"/>
              <w:right w:val="nil"/>
            </w:tcBorders>
            <w:shd w:val="clear" w:color="000000" w:fill="FFFFFF"/>
            <w:vAlign w:val="center"/>
            <w:hideMark/>
          </w:tcPr>
          <w:p w14:paraId="60D59607" w14:textId="77777777" w:rsidR="00506B94" w:rsidRPr="00846EEE" w:rsidRDefault="00506B94" w:rsidP="00997EF7">
            <w:pPr>
              <w:spacing w:after="0" w:line="240" w:lineRule="auto"/>
              <w:ind w:hanging="105"/>
              <w:jc w:val="both"/>
              <w:rPr>
                <w:rFonts w:asciiTheme="minorHAnsi" w:hAnsiTheme="minorHAnsi" w:cstheme="minorHAnsi"/>
                <w:sz w:val="18"/>
                <w:szCs w:val="18"/>
              </w:rPr>
            </w:pPr>
            <w:r w:rsidRPr="00846EEE">
              <w:rPr>
                <w:rFonts w:asciiTheme="minorHAnsi" w:hAnsiTheme="minorHAnsi" w:cstheme="minorHAnsi"/>
                <w:sz w:val="18"/>
                <w:szCs w:val="18"/>
                <w:lang w:val="en-US"/>
              </w:rPr>
              <w:t>Increase in trade and other payables</w:t>
            </w:r>
          </w:p>
        </w:tc>
        <w:tc>
          <w:tcPr>
            <w:tcW w:w="1559" w:type="dxa"/>
            <w:tcBorders>
              <w:top w:val="nil"/>
              <w:left w:val="nil"/>
              <w:bottom w:val="nil"/>
              <w:right w:val="nil"/>
            </w:tcBorders>
            <w:shd w:val="clear" w:color="000000" w:fill="FFFFFF"/>
            <w:vAlign w:val="center"/>
            <w:hideMark/>
          </w:tcPr>
          <w:p w14:paraId="7CE97E74" w14:textId="0F3400C2" w:rsidR="00506B94" w:rsidRPr="00846EEE" w:rsidRDefault="001E4197" w:rsidP="00997EF7">
            <w:pPr>
              <w:spacing w:after="0" w:line="240" w:lineRule="auto"/>
              <w:jc w:val="right"/>
              <w:rPr>
                <w:rFonts w:asciiTheme="minorHAnsi" w:hAnsiTheme="minorHAnsi" w:cstheme="minorHAnsi"/>
                <w:sz w:val="18"/>
                <w:szCs w:val="18"/>
              </w:rPr>
            </w:pPr>
            <w:r>
              <w:rPr>
                <w:rFonts w:asciiTheme="minorHAnsi" w:hAnsiTheme="minorHAnsi" w:cstheme="minorHAnsi"/>
                <w:sz w:val="18"/>
                <w:szCs w:val="18"/>
              </w:rPr>
              <w:t>1,</w:t>
            </w:r>
            <w:r w:rsidR="00D71434">
              <w:rPr>
                <w:rFonts w:asciiTheme="minorHAnsi" w:hAnsiTheme="minorHAnsi" w:cstheme="minorHAnsi"/>
                <w:sz w:val="18"/>
                <w:szCs w:val="18"/>
              </w:rPr>
              <w:t>834</w:t>
            </w:r>
            <w:r w:rsidR="00506B94" w:rsidRPr="00846EEE">
              <w:rPr>
                <w:rFonts w:asciiTheme="minorHAnsi" w:hAnsiTheme="minorHAnsi" w:cstheme="minorHAnsi"/>
                <w:sz w:val="18"/>
                <w:szCs w:val="18"/>
              </w:rPr>
              <w:t> </w:t>
            </w:r>
          </w:p>
        </w:tc>
        <w:tc>
          <w:tcPr>
            <w:tcW w:w="1418" w:type="dxa"/>
            <w:tcBorders>
              <w:top w:val="nil"/>
              <w:left w:val="nil"/>
              <w:bottom w:val="nil"/>
              <w:right w:val="nil"/>
            </w:tcBorders>
            <w:shd w:val="clear" w:color="000000" w:fill="FFFFFF"/>
            <w:noWrap/>
            <w:vAlign w:val="bottom"/>
            <w:hideMark/>
          </w:tcPr>
          <w:p w14:paraId="24A52845" w14:textId="77777777" w:rsidR="00506B94" w:rsidRPr="00846EEE" w:rsidRDefault="00506B94" w:rsidP="00506B94">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lang w:val="en-US" w:bidi="en-US"/>
              </w:rPr>
              <w:t xml:space="preserve">              201 </w:t>
            </w:r>
          </w:p>
        </w:tc>
        <w:tc>
          <w:tcPr>
            <w:tcW w:w="1418" w:type="dxa"/>
            <w:tcBorders>
              <w:top w:val="nil"/>
              <w:left w:val="nil"/>
              <w:bottom w:val="nil"/>
              <w:right w:val="nil"/>
            </w:tcBorders>
            <w:shd w:val="clear" w:color="000000" w:fill="FFFFFF"/>
            <w:noWrap/>
            <w:vAlign w:val="bottom"/>
            <w:hideMark/>
          </w:tcPr>
          <w:p w14:paraId="6F06A9EB" w14:textId="77777777" w:rsidR="00506B94" w:rsidRPr="00846EEE" w:rsidRDefault="00506B94" w:rsidP="00506B94">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lang w:val="x-none"/>
              </w:rPr>
              <w:t xml:space="preserve">     1,221 </w:t>
            </w:r>
          </w:p>
        </w:tc>
      </w:tr>
      <w:tr w:rsidR="003B4348" w:rsidRPr="00551D5A" w14:paraId="529D36C4" w14:textId="77777777" w:rsidTr="00340042">
        <w:trPr>
          <w:trHeight w:val="199"/>
        </w:trPr>
        <w:tc>
          <w:tcPr>
            <w:tcW w:w="5103" w:type="dxa"/>
            <w:tcBorders>
              <w:top w:val="single" w:sz="4" w:space="0" w:color="auto"/>
              <w:left w:val="nil"/>
              <w:bottom w:val="single" w:sz="4" w:space="0" w:color="auto"/>
              <w:right w:val="nil"/>
            </w:tcBorders>
            <w:shd w:val="clear" w:color="000000" w:fill="FFFFFF"/>
            <w:vAlign w:val="center"/>
            <w:hideMark/>
          </w:tcPr>
          <w:p w14:paraId="4EB4490C" w14:textId="5A001703" w:rsidR="003B4348" w:rsidRPr="00846EEE" w:rsidRDefault="003B4348" w:rsidP="003B4348">
            <w:pPr>
              <w:spacing w:after="0" w:line="240" w:lineRule="auto"/>
              <w:ind w:hanging="105"/>
              <w:jc w:val="both"/>
              <w:rPr>
                <w:rFonts w:asciiTheme="minorHAnsi" w:hAnsiTheme="minorHAnsi" w:cstheme="minorHAnsi"/>
                <w:b/>
                <w:bCs/>
                <w:sz w:val="18"/>
                <w:szCs w:val="18"/>
              </w:rPr>
            </w:pPr>
            <w:r w:rsidRPr="008A3113">
              <w:rPr>
                <w:rFonts w:asciiTheme="minorHAnsi" w:hAnsiTheme="minorHAnsi" w:cstheme="minorHAnsi"/>
                <w:b/>
                <w:bCs/>
                <w:sz w:val="18"/>
                <w:szCs w:val="18"/>
              </w:rPr>
              <w:t>Net cash from operating activities</w:t>
            </w:r>
          </w:p>
        </w:tc>
        <w:tc>
          <w:tcPr>
            <w:tcW w:w="1559" w:type="dxa"/>
            <w:tcBorders>
              <w:top w:val="single" w:sz="4" w:space="0" w:color="auto"/>
              <w:left w:val="nil"/>
              <w:bottom w:val="single" w:sz="4" w:space="0" w:color="auto"/>
              <w:right w:val="nil"/>
            </w:tcBorders>
            <w:shd w:val="clear" w:color="000000" w:fill="FFFFFF"/>
            <w:vAlign w:val="center"/>
            <w:hideMark/>
          </w:tcPr>
          <w:p w14:paraId="75632F64" w14:textId="4D48BC66" w:rsidR="003B4348" w:rsidRPr="00846EEE" w:rsidRDefault="003B4348" w:rsidP="003B4348">
            <w:pPr>
              <w:spacing w:after="0" w:line="240" w:lineRule="auto"/>
              <w:jc w:val="right"/>
              <w:rPr>
                <w:rFonts w:asciiTheme="minorHAnsi" w:hAnsiTheme="minorHAnsi" w:cstheme="minorHAnsi"/>
                <w:b/>
                <w:bCs/>
                <w:sz w:val="18"/>
                <w:szCs w:val="18"/>
              </w:rPr>
            </w:pPr>
            <w:r>
              <w:rPr>
                <w:rFonts w:cs="Calibri"/>
                <w:b/>
                <w:bCs/>
                <w:color w:val="000000"/>
                <w:sz w:val="18"/>
                <w:szCs w:val="18"/>
              </w:rPr>
              <w:t>12,806</w:t>
            </w:r>
          </w:p>
        </w:tc>
        <w:tc>
          <w:tcPr>
            <w:tcW w:w="1418" w:type="dxa"/>
            <w:tcBorders>
              <w:top w:val="single" w:sz="4" w:space="0" w:color="auto"/>
              <w:left w:val="nil"/>
              <w:bottom w:val="single" w:sz="4" w:space="0" w:color="auto"/>
              <w:right w:val="nil"/>
            </w:tcBorders>
            <w:shd w:val="clear" w:color="000000" w:fill="FFFFFF"/>
            <w:noWrap/>
            <w:vAlign w:val="center"/>
            <w:hideMark/>
          </w:tcPr>
          <w:p w14:paraId="791E0DF4" w14:textId="7A7071AA" w:rsidR="003B4348" w:rsidRPr="00846EEE" w:rsidRDefault="003B4348" w:rsidP="003B4348">
            <w:pPr>
              <w:spacing w:after="0" w:line="240" w:lineRule="auto"/>
              <w:jc w:val="right"/>
              <w:rPr>
                <w:rFonts w:asciiTheme="minorHAnsi" w:hAnsiTheme="minorHAnsi" w:cstheme="minorHAnsi"/>
                <w:color w:val="000000"/>
                <w:sz w:val="18"/>
                <w:szCs w:val="18"/>
              </w:rPr>
            </w:pPr>
            <w:r>
              <w:rPr>
                <w:rFonts w:cs="Calibri"/>
                <w:color w:val="000000"/>
                <w:sz w:val="18"/>
                <w:szCs w:val="18"/>
                <w:lang w:val="en-US"/>
              </w:rPr>
              <w:t>(</w:t>
            </w:r>
            <w:r w:rsidRPr="00937D77">
              <w:rPr>
                <w:rFonts w:cs="Calibri"/>
                <w:color w:val="000000"/>
                <w:sz w:val="18"/>
                <w:szCs w:val="18"/>
                <w:lang w:val="en-US"/>
              </w:rPr>
              <w:t>5</w:t>
            </w:r>
            <w:r>
              <w:rPr>
                <w:rFonts w:cs="Calibri"/>
                <w:color w:val="000000"/>
                <w:sz w:val="18"/>
                <w:szCs w:val="18"/>
                <w:lang w:val="en-US"/>
              </w:rPr>
              <w:t>,</w:t>
            </w:r>
            <w:r w:rsidRPr="00937D77">
              <w:rPr>
                <w:rFonts w:cs="Calibri"/>
                <w:color w:val="000000"/>
                <w:sz w:val="18"/>
                <w:szCs w:val="18"/>
                <w:lang w:val="en-US"/>
              </w:rPr>
              <w:t>045</w:t>
            </w:r>
            <w:r>
              <w:rPr>
                <w:rFonts w:cs="Calibri"/>
                <w:color w:val="000000"/>
                <w:sz w:val="18"/>
                <w:szCs w:val="18"/>
                <w:lang w:val="en-US"/>
              </w:rPr>
              <w:t>)</w:t>
            </w:r>
          </w:p>
        </w:tc>
        <w:tc>
          <w:tcPr>
            <w:tcW w:w="1418" w:type="dxa"/>
            <w:tcBorders>
              <w:top w:val="single" w:sz="4" w:space="0" w:color="auto"/>
              <w:left w:val="nil"/>
              <w:bottom w:val="single" w:sz="4" w:space="0" w:color="auto"/>
              <w:right w:val="nil"/>
            </w:tcBorders>
            <w:shd w:val="clear" w:color="000000" w:fill="FFFFFF"/>
            <w:noWrap/>
            <w:vAlign w:val="center"/>
            <w:hideMark/>
          </w:tcPr>
          <w:p w14:paraId="110A48F2" w14:textId="46C57414" w:rsidR="003B4348" w:rsidRPr="00846EEE" w:rsidRDefault="003B4348" w:rsidP="003B4348">
            <w:pPr>
              <w:spacing w:after="0" w:line="240" w:lineRule="auto"/>
              <w:jc w:val="right"/>
              <w:rPr>
                <w:rFonts w:asciiTheme="minorHAnsi" w:hAnsiTheme="minorHAnsi" w:cstheme="minorHAnsi"/>
                <w:color w:val="000000"/>
                <w:sz w:val="18"/>
                <w:szCs w:val="18"/>
              </w:rPr>
            </w:pPr>
            <w:r w:rsidRPr="00937D77">
              <w:rPr>
                <w:rFonts w:cs="Calibri"/>
                <w:color w:val="000000"/>
                <w:sz w:val="18"/>
                <w:szCs w:val="18"/>
                <w:lang w:val="x-none"/>
              </w:rPr>
              <w:t>6</w:t>
            </w:r>
            <w:r>
              <w:rPr>
                <w:rFonts w:cs="Calibri"/>
                <w:color w:val="000000"/>
                <w:sz w:val="18"/>
                <w:szCs w:val="18"/>
              </w:rPr>
              <w:t>,</w:t>
            </w:r>
            <w:r w:rsidRPr="00937D77">
              <w:rPr>
                <w:rFonts w:cs="Calibri"/>
                <w:color w:val="000000"/>
                <w:sz w:val="18"/>
                <w:szCs w:val="18"/>
                <w:lang w:val="x-none"/>
              </w:rPr>
              <w:t>875</w:t>
            </w:r>
          </w:p>
        </w:tc>
      </w:tr>
      <w:tr w:rsidR="003B4348" w:rsidRPr="00551D5A" w14:paraId="2FB689FE" w14:textId="77777777" w:rsidTr="00997EF7">
        <w:trPr>
          <w:trHeight w:val="199"/>
        </w:trPr>
        <w:tc>
          <w:tcPr>
            <w:tcW w:w="5103" w:type="dxa"/>
            <w:tcBorders>
              <w:top w:val="single" w:sz="4" w:space="0" w:color="auto"/>
              <w:left w:val="nil"/>
              <w:bottom w:val="single" w:sz="4" w:space="0" w:color="auto"/>
              <w:right w:val="nil"/>
            </w:tcBorders>
            <w:shd w:val="clear" w:color="000000" w:fill="FFFFFF"/>
            <w:vAlign w:val="center"/>
          </w:tcPr>
          <w:p w14:paraId="11AFE205" w14:textId="5C527CB7" w:rsidR="003B4348" w:rsidRPr="00846EEE" w:rsidRDefault="003B4348" w:rsidP="003B4348">
            <w:pPr>
              <w:spacing w:after="0" w:line="240" w:lineRule="auto"/>
              <w:ind w:hanging="105"/>
              <w:jc w:val="both"/>
              <w:rPr>
                <w:rFonts w:asciiTheme="minorHAnsi" w:hAnsiTheme="minorHAnsi" w:cstheme="minorHAnsi"/>
                <w:b/>
                <w:bCs/>
                <w:sz w:val="18"/>
                <w:szCs w:val="18"/>
                <w:lang w:val="x-none"/>
              </w:rPr>
            </w:pPr>
            <w:r w:rsidRPr="00846EEE">
              <w:rPr>
                <w:rFonts w:asciiTheme="minorHAnsi" w:hAnsiTheme="minorHAnsi" w:cstheme="minorHAnsi"/>
                <w:sz w:val="18"/>
                <w:szCs w:val="18"/>
                <w:lang w:val="en-US"/>
              </w:rPr>
              <w:t>Income taxes paid</w:t>
            </w:r>
          </w:p>
        </w:tc>
        <w:tc>
          <w:tcPr>
            <w:tcW w:w="1559" w:type="dxa"/>
            <w:tcBorders>
              <w:top w:val="single" w:sz="4" w:space="0" w:color="auto"/>
              <w:left w:val="nil"/>
              <w:bottom w:val="single" w:sz="4" w:space="0" w:color="auto"/>
              <w:right w:val="nil"/>
            </w:tcBorders>
            <w:shd w:val="clear" w:color="000000" w:fill="FFFFFF"/>
            <w:vAlign w:val="center"/>
          </w:tcPr>
          <w:p w14:paraId="237EA665" w14:textId="6387681F" w:rsidR="003B4348" w:rsidRDefault="003B4348" w:rsidP="003B4348">
            <w:pPr>
              <w:spacing w:after="0" w:line="240" w:lineRule="auto"/>
              <w:jc w:val="right"/>
              <w:rPr>
                <w:rFonts w:asciiTheme="minorHAnsi" w:hAnsiTheme="minorHAnsi" w:cstheme="minorHAnsi"/>
                <w:b/>
                <w:bCs/>
                <w:sz w:val="18"/>
                <w:szCs w:val="18"/>
              </w:rPr>
            </w:pPr>
            <w:r>
              <w:rPr>
                <w:rFonts w:asciiTheme="minorHAnsi" w:hAnsiTheme="minorHAnsi" w:cstheme="minorHAnsi"/>
                <w:sz w:val="18"/>
                <w:szCs w:val="18"/>
              </w:rPr>
              <w:t>(1,446)</w:t>
            </w:r>
            <w:r w:rsidRPr="00846EEE">
              <w:rPr>
                <w:rFonts w:asciiTheme="minorHAnsi" w:hAnsiTheme="minorHAnsi" w:cstheme="minorHAnsi"/>
                <w:sz w:val="18"/>
                <w:szCs w:val="18"/>
              </w:rPr>
              <w:t> </w:t>
            </w:r>
          </w:p>
        </w:tc>
        <w:tc>
          <w:tcPr>
            <w:tcW w:w="1418" w:type="dxa"/>
            <w:tcBorders>
              <w:top w:val="single" w:sz="4" w:space="0" w:color="auto"/>
              <w:left w:val="nil"/>
              <w:bottom w:val="single" w:sz="4" w:space="0" w:color="auto"/>
              <w:right w:val="nil"/>
            </w:tcBorders>
            <w:shd w:val="clear" w:color="000000" w:fill="FFFFFF"/>
            <w:noWrap/>
            <w:vAlign w:val="bottom"/>
          </w:tcPr>
          <w:p w14:paraId="4CC23C98" w14:textId="5CB25FD3" w:rsidR="003B4348" w:rsidRPr="00846EEE" w:rsidRDefault="003B4348" w:rsidP="003B4348">
            <w:pPr>
              <w:spacing w:after="0" w:line="240" w:lineRule="auto"/>
              <w:jc w:val="right"/>
              <w:rPr>
                <w:rFonts w:asciiTheme="minorHAnsi" w:hAnsiTheme="minorHAnsi" w:cstheme="minorHAnsi"/>
                <w:color w:val="000000"/>
                <w:sz w:val="18"/>
                <w:szCs w:val="18"/>
                <w:lang w:val="en-US" w:bidi="en-US"/>
              </w:rPr>
            </w:pPr>
            <w:r w:rsidRPr="00846EEE">
              <w:rPr>
                <w:rFonts w:asciiTheme="minorHAnsi" w:hAnsiTheme="minorHAnsi" w:cstheme="minorHAnsi"/>
                <w:color w:val="000000"/>
                <w:sz w:val="18"/>
                <w:szCs w:val="18"/>
                <w:lang w:val="en-US" w:bidi="en-US"/>
              </w:rPr>
              <w:t xml:space="preserve">         (1,435)</w:t>
            </w:r>
          </w:p>
        </w:tc>
        <w:tc>
          <w:tcPr>
            <w:tcW w:w="1418" w:type="dxa"/>
            <w:tcBorders>
              <w:top w:val="single" w:sz="4" w:space="0" w:color="auto"/>
              <w:left w:val="nil"/>
              <w:bottom w:val="single" w:sz="4" w:space="0" w:color="auto"/>
              <w:right w:val="nil"/>
            </w:tcBorders>
            <w:shd w:val="clear" w:color="000000" w:fill="FFFFFF"/>
            <w:noWrap/>
            <w:vAlign w:val="bottom"/>
          </w:tcPr>
          <w:p w14:paraId="529B6D22" w14:textId="42131771" w:rsidR="003B4348" w:rsidRPr="00846EEE" w:rsidRDefault="003B4348" w:rsidP="003B4348">
            <w:pPr>
              <w:spacing w:after="0" w:line="240" w:lineRule="auto"/>
              <w:jc w:val="right"/>
              <w:rPr>
                <w:rFonts w:asciiTheme="minorHAnsi" w:hAnsiTheme="minorHAnsi" w:cstheme="minorHAnsi"/>
                <w:color w:val="000000"/>
                <w:sz w:val="18"/>
                <w:szCs w:val="18"/>
                <w:lang w:val="x-none"/>
              </w:rPr>
            </w:pPr>
            <w:r w:rsidRPr="00846EEE">
              <w:rPr>
                <w:rFonts w:asciiTheme="minorHAnsi" w:hAnsiTheme="minorHAnsi" w:cstheme="minorHAnsi"/>
                <w:color w:val="000000"/>
                <w:sz w:val="18"/>
                <w:szCs w:val="18"/>
                <w:lang w:val="x-none"/>
              </w:rPr>
              <w:t xml:space="preserve">    (2,345)</w:t>
            </w:r>
          </w:p>
        </w:tc>
      </w:tr>
      <w:tr w:rsidR="003B4348" w:rsidRPr="00551D5A" w14:paraId="18E2EAB5" w14:textId="77777777" w:rsidTr="00997EF7">
        <w:trPr>
          <w:trHeight w:val="199"/>
        </w:trPr>
        <w:tc>
          <w:tcPr>
            <w:tcW w:w="5103" w:type="dxa"/>
            <w:tcBorders>
              <w:top w:val="single" w:sz="4" w:space="0" w:color="auto"/>
              <w:left w:val="nil"/>
              <w:bottom w:val="single" w:sz="4" w:space="0" w:color="auto"/>
              <w:right w:val="nil"/>
            </w:tcBorders>
            <w:shd w:val="clear" w:color="000000" w:fill="FFFFFF"/>
            <w:vAlign w:val="center"/>
          </w:tcPr>
          <w:p w14:paraId="76A6923A" w14:textId="71771234" w:rsidR="003B4348" w:rsidRPr="00846EEE" w:rsidRDefault="003B4348" w:rsidP="003B4348">
            <w:pPr>
              <w:spacing w:after="0" w:line="240" w:lineRule="auto"/>
              <w:ind w:hanging="105"/>
              <w:jc w:val="both"/>
              <w:rPr>
                <w:rFonts w:asciiTheme="minorHAnsi" w:hAnsiTheme="minorHAnsi" w:cstheme="minorHAnsi"/>
                <w:b/>
                <w:bCs/>
                <w:sz w:val="18"/>
                <w:szCs w:val="18"/>
                <w:lang w:val="x-none"/>
              </w:rPr>
            </w:pPr>
            <w:r w:rsidRPr="00846EEE">
              <w:rPr>
                <w:rFonts w:asciiTheme="minorHAnsi" w:hAnsiTheme="minorHAnsi" w:cstheme="minorHAnsi"/>
                <w:b/>
                <w:bCs/>
                <w:sz w:val="18"/>
                <w:szCs w:val="18"/>
                <w:lang w:val="x-none"/>
              </w:rPr>
              <w:t>Net cash from operations</w:t>
            </w:r>
          </w:p>
        </w:tc>
        <w:tc>
          <w:tcPr>
            <w:tcW w:w="1559" w:type="dxa"/>
            <w:tcBorders>
              <w:top w:val="single" w:sz="4" w:space="0" w:color="auto"/>
              <w:left w:val="nil"/>
              <w:bottom w:val="single" w:sz="4" w:space="0" w:color="auto"/>
              <w:right w:val="nil"/>
            </w:tcBorders>
            <w:shd w:val="clear" w:color="000000" w:fill="FFFFFF"/>
            <w:vAlign w:val="center"/>
          </w:tcPr>
          <w:p w14:paraId="6F44C011" w14:textId="00025206" w:rsidR="003B4348" w:rsidRDefault="003B4348" w:rsidP="003B4348">
            <w:pPr>
              <w:spacing w:after="0" w:line="240" w:lineRule="auto"/>
              <w:jc w:val="right"/>
              <w:rPr>
                <w:rFonts w:asciiTheme="minorHAnsi" w:hAnsiTheme="minorHAnsi" w:cstheme="minorHAnsi"/>
                <w:b/>
                <w:bCs/>
                <w:sz w:val="18"/>
                <w:szCs w:val="18"/>
              </w:rPr>
            </w:pPr>
            <w:r>
              <w:rPr>
                <w:rFonts w:asciiTheme="minorHAnsi" w:hAnsiTheme="minorHAnsi" w:cstheme="minorHAnsi"/>
                <w:b/>
                <w:bCs/>
                <w:sz w:val="18"/>
                <w:szCs w:val="18"/>
              </w:rPr>
              <w:t>11,360</w:t>
            </w:r>
            <w:r w:rsidRPr="00846EEE">
              <w:rPr>
                <w:rFonts w:asciiTheme="minorHAnsi" w:hAnsiTheme="minorHAnsi" w:cstheme="minorHAnsi"/>
                <w:b/>
                <w:bCs/>
                <w:sz w:val="18"/>
                <w:szCs w:val="18"/>
              </w:rPr>
              <w:t> </w:t>
            </w:r>
          </w:p>
        </w:tc>
        <w:tc>
          <w:tcPr>
            <w:tcW w:w="1418" w:type="dxa"/>
            <w:tcBorders>
              <w:top w:val="single" w:sz="4" w:space="0" w:color="auto"/>
              <w:left w:val="nil"/>
              <w:bottom w:val="single" w:sz="4" w:space="0" w:color="auto"/>
              <w:right w:val="nil"/>
            </w:tcBorders>
            <w:shd w:val="clear" w:color="000000" w:fill="FFFFFF"/>
            <w:noWrap/>
            <w:vAlign w:val="bottom"/>
          </w:tcPr>
          <w:p w14:paraId="3B8935E6" w14:textId="741170D7" w:rsidR="003B4348" w:rsidRPr="00846EEE" w:rsidRDefault="003B4348" w:rsidP="003B4348">
            <w:pPr>
              <w:spacing w:after="0" w:line="240" w:lineRule="auto"/>
              <w:jc w:val="right"/>
              <w:rPr>
                <w:rFonts w:asciiTheme="minorHAnsi" w:hAnsiTheme="minorHAnsi" w:cstheme="minorHAnsi"/>
                <w:color w:val="000000"/>
                <w:sz w:val="18"/>
                <w:szCs w:val="18"/>
                <w:lang w:val="en-US" w:bidi="en-US"/>
              </w:rPr>
            </w:pPr>
            <w:r w:rsidRPr="00846EEE">
              <w:rPr>
                <w:rFonts w:asciiTheme="minorHAnsi" w:hAnsiTheme="minorHAnsi" w:cstheme="minorHAnsi"/>
                <w:color w:val="000000"/>
                <w:sz w:val="18"/>
                <w:szCs w:val="18"/>
                <w:lang w:val="en-US" w:bidi="en-US"/>
              </w:rPr>
              <w:t xml:space="preserve">         (6,480)</w:t>
            </w:r>
          </w:p>
        </w:tc>
        <w:tc>
          <w:tcPr>
            <w:tcW w:w="1418" w:type="dxa"/>
            <w:tcBorders>
              <w:top w:val="single" w:sz="4" w:space="0" w:color="auto"/>
              <w:left w:val="nil"/>
              <w:bottom w:val="single" w:sz="4" w:space="0" w:color="auto"/>
              <w:right w:val="nil"/>
            </w:tcBorders>
            <w:shd w:val="clear" w:color="000000" w:fill="FFFFFF"/>
            <w:noWrap/>
            <w:vAlign w:val="bottom"/>
          </w:tcPr>
          <w:p w14:paraId="19E59DC9" w14:textId="5C22DEF1" w:rsidR="003B4348" w:rsidRPr="00846EEE" w:rsidRDefault="003B4348" w:rsidP="003B4348">
            <w:pPr>
              <w:spacing w:after="0" w:line="240" w:lineRule="auto"/>
              <w:jc w:val="right"/>
              <w:rPr>
                <w:rFonts w:asciiTheme="minorHAnsi" w:hAnsiTheme="minorHAnsi" w:cstheme="minorHAnsi"/>
                <w:color w:val="000000"/>
                <w:sz w:val="18"/>
                <w:szCs w:val="18"/>
                <w:lang w:val="x-none"/>
              </w:rPr>
            </w:pPr>
            <w:r w:rsidRPr="00846EEE">
              <w:rPr>
                <w:rFonts w:asciiTheme="minorHAnsi" w:hAnsiTheme="minorHAnsi" w:cstheme="minorHAnsi"/>
                <w:color w:val="000000"/>
                <w:sz w:val="18"/>
                <w:szCs w:val="18"/>
                <w:lang w:val="x-none"/>
              </w:rPr>
              <w:t xml:space="preserve">     4,530 </w:t>
            </w:r>
          </w:p>
        </w:tc>
      </w:tr>
      <w:tr w:rsidR="00551D5A" w:rsidRPr="00551D5A" w14:paraId="20C24928" w14:textId="77777777" w:rsidTr="00997EF7">
        <w:trPr>
          <w:trHeight w:val="199"/>
        </w:trPr>
        <w:tc>
          <w:tcPr>
            <w:tcW w:w="5103" w:type="dxa"/>
            <w:tcBorders>
              <w:top w:val="nil"/>
              <w:left w:val="nil"/>
              <w:bottom w:val="nil"/>
              <w:right w:val="nil"/>
            </w:tcBorders>
            <w:shd w:val="clear" w:color="000000" w:fill="FFFFFF"/>
            <w:vAlign w:val="center"/>
            <w:hideMark/>
          </w:tcPr>
          <w:p w14:paraId="744AE8A6" w14:textId="77777777" w:rsidR="00506B94" w:rsidRPr="00846EEE" w:rsidRDefault="00506B94" w:rsidP="00997EF7">
            <w:pPr>
              <w:spacing w:after="0" w:line="240" w:lineRule="auto"/>
              <w:ind w:hanging="105"/>
              <w:jc w:val="both"/>
              <w:rPr>
                <w:rFonts w:asciiTheme="minorHAnsi" w:hAnsiTheme="minorHAnsi" w:cstheme="minorHAnsi"/>
                <w:b/>
                <w:bCs/>
                <w:sz w:val="18"/>
                <w:szCs w:val="18"/>
              </w:rPr>
            </w:pPr>
            <w:r w:rsidRPr="00846EEE">
              <w:rPr>
                <w:rFonts w:asciiTheme="minorHAnsi" w:hAnsiTheme="minorHAnsi" w:cstheme="minorHAnsi"/>
                <w:b/>
                <w:bCs/>
                <w:sz w:val="18"/>
                <w:szCs w:val="18"/>
                <w:lang w:val="x-none"/>
              </w:rPr>
              <w:t>Cash flows used in investing activities</w:t>
            </w:r>
          </w:p>
        </w:tc>
        <w:tc>
          <w:tcPr>
            <w:tcW w:w="1559" w:type="dxa"/>
            <w:tcBorders>
              <w:top w:val="nil"/>
              <w:left w:val="nil"/>
              <w:bottom w:val="nil"/>
              <w:right w:val="nil"/>
            </w:tcBorders>
            <w:shd w:val="clear" w:color="000000" w:fill="FFFFFF"/>
            <w:vAlign w:val="center"/>
            <w:hideMark/>
          </w:tcPr>
          <w:p w14:paraId="78CC1446" w14:textId="77777777" w:rsidR="00506B94" w:rsidRPr="00846EEE" w:rsidRDefault="00506B94" w:rsidP="00997EF7">
            <w:pPr>
              <w:spacing w:after="0" w:line="240" w:lineRule="auto"/>
              <w:jc w:val="right"/>
              <w:rPr>
                <w:rFonts w:asciiTheme="minorHAnsi" w:hAnsiTheme="minorHAnsi" w:cstheme="minorHAnsi"/>
                <w:b/>
                <w:bCs/>
                <w:sz w:val="18"/>
                <w:szCs w:val="18"/>
              </w:rPr>
            </w:pPr>
            <w:r w:rsidRPr="00846EEE">
              <w:rPr>
                <w:rFonts w:asciiTheme="minorHAnsi" w:hAnsiTheme="minorHAnsi" w:cstheme="minorHAnsi"/>
                <w:b/>
                <w:bCs/>
                <w:sz w:val="18"/>
                <w:szCs w:val="18"/>
              </w:rPr>
              <w:t> </w:t>
            </w:r>
          </w:p>
        </w:tc>
        <w:tc>
          <w:tcPr>
            <w:tcW w:w="1418" w:type="dxa"/>
            <w:tcBorders>
              <w:top w:val="nil"/>
              <w:left w:val="nil"/>
              <w:bottom w:val="nil"/>
              <w:right w:val="nil"/>
            </w:tcBorders>
            <w:shd w:val="clear" w:color="000000" w:fill="FFFFFF"/>
            <w:noWrap/>
            <w:vAlign w:val="bottom"/>
            <w:hideMark/>
          </w:tcPr>
          <w:p w14:paraId="4832B7E4" w14:textId="77777777" w:rsidR="00506B94" w:rsidRPr="00846EEE" w:rsidRDefault="00506B94" w:rsidP="00506B94">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w:t>
            </w:r>
          </w:p>
        </w:tc>
        <w:tc>
          <w:tcPr>
            <w:tcW w:w="1418" w:type="dxa"/>
            <w:tcBorders>
              <w:top w:val="nil"/>
              <w:left w:val="nil"/>
              <w:bottom w:val="nil"/>
              <w:right w:val="nil"/>
            </w:tcBorders>
            <w:shd w:val="clear" w:color="000000" w:fill="FFFFFF"/>
            <w:noWrap/>
            <w:vAlign w:val="bottom"/>
            <w:hideMark/>
          </w:tcPr>
          <w:p w14:paraId="5CC58669" w14:textId="77777777" w:rsidR="00506B94" w:rsidRPr="00846EEE" w:rsidRDefault="00506B94" w:rsidP="00506B94">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lang w:val="x-none"/>
              </w:rPr>
              <w:t> </w:t>
            </w:r>
          </w:p>
        </w:tc>
      </w:tr>
      <w:tr w:rsidR="00551D5A" w:rsidRPr="00551D5A" w14:paraId="0FF9FDD9" w14:textId="77777777" w:rsidTr="00997EF7">
        <w:trPr>
          <w:trHeight w:val="199"/>
        </w:trPr>
        <w:tc>
          <w:tcPr>
            <w:tcW w:w="5103" w:type="dxa"/>
            <w:tcBorders>
              <w:top w:val="nil"/>
              <w:left w:val="nil"/>
              <w:bottom w:val="nil"/>
              <w:right w:val="nil"/>
            </w:tcBorders>
            <w:shd w:val="clear" w:color="000000" w:fill="FFFFFF"/>
            <w:vAlign w:val="center"/>
            <w:hideMark/>
          </w:tcPr>
          <w:p w14:paraId="587D434B" w14:textId="77777777" w:rsidR="00506B94" w:rsidRPr="00846EEE" w:rsidRDefault="00506B94" w:rsidP="00997EF7">
            <w:pPr>
              <w:spacing w:after="0" w:line="240" w:lineRule="auto"/>
              <w:ind w:hanging="105"/>
              <w:jc w:val="both"/>
              <w:rPr>
                <w:rFonts w:asciiTheme="minorHAnsi" w:hAnsiTheme="minorHAnsi" w:cstheme="minorHAnsi"/>
                <w:sz w:val="18"/>
                <w:szCs w:val="18"/>
              </w:rPr>
            </w:pPr>
            <w:r w:rsidRPr="00846EEE">
              <w:rPr>
                <w:rFonts w:asciiTheme="minorHAnsi" w:hAnsiTheme="minorHAnsi" w:cstheme="minorHAnsi"/>
                <w:sz w:val="18"/>
                <w:szCs w:val="18"/>
              </w:rPr>
              <w:t xml:space="preserve">Acquisition of subsidiary </w:t>
            </w:r>
          </w:p>
        </w:tc>
        <w:tc>
          <w:tcPr>
            <w:tcW w:w="1559" w:type="dxa"/>
            <w:tcBorders>
              <w:top w:val="nil"/>
              <w:left w:val="nil"/>
              <w:bottom w:val="nil"/>
              <w:right w:val="nil"/>
            </w:tcBorders>
            <w:shd w:val="clear" w:color="000000" w:fill="FFFFFF"/>
            <w:vAlign w:val="center"/>
            <w:hideMark/>
          </w:tcPr>
          <w:p w14:paraId="588B8430" w14:textId="32E8FCF6" w:rsidR="00506B94" w:rsidRPr="00846EEE" w:rsidRDefault="001E4197" w:rsidP="00997EF7">
            <w:pPr>
              <w:spacing w:after="0" w:line="240" w:lineRule="auto"/>
              <w:jc w:val="right"/>
              <w:rPr>
                <w:rFonts w:asciiTheme="minorHAnsi" w:hAnsiTheme="minorHAnsi" w:cstheme="minorHAnsi"/>
                <w:sz w:val="18"/>
                <w:szCs w:val="18"/>
              </w:rPr>
            </w:pPr>
            <w:r>
              <w:rPr>
                <w:rFonts w:asciiTheme="minorHAnsi" w:hAnsiTheme="minorHAnsi" w:cstheme="minorHAnsi"/>
                <w:sz w:val="18"/>
                <w:szCs w:val="18"/>
              </w:rPr>
              <w:t>(493)</w:t>
            </w:r>
            <w:r w:rsidR="00506B94" w:rsidRPr="00846EEE">
              <w:rPr>
                <w:rFonts w:asciiTheme="minorHAnsi" w:hAnsiTheme="minorHAnsi" w:cstheme="minorHAnsi"/>
                <w:sz w:val="18"/>
                <w:szCs w:val="18"/>
              </w:rPr>
              <w:t> </w:t>
            </w:r>
          </w:p>
        </w:tc>
        <w:tc>
          <w:tcPr>
            <w:tcW w:w="1418" w:type="dxa"/>
            <w:tcBorders>
              <w:top w:val="nil"/>
              <w:left w:val="nil"/>
              <w:bottom w:val="nil"/>
              <w:right w:val="nil"/>
            </w:tcBorders>
            <w:shd w:val="clear" w:color="000000" w:fill="FFFFFF"/>
            <w:noWrap/>
            <w:vAlign w:val="bottom"/>
            <w:hideMark/>
          </w:tcPr>
          <w:p w14:paraId="7B5B0D82" w14:textId="77777777" w:rsidR="00506B94" w:rsidRPr="00846EEE" w:rsidRDefault="00506B94" w:rsidP="00506B94">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(493)</w:t>
            </w:r>
          </w:p>
        </w:tc>
        <w:tc>
          <w:tcPr>
            <w:tcW w:w="1418" w:type="dxa"/>
            <w:tcBorders>
              <w:top w:val="nil"/>
              <w:left w:val="nil"/>
              <w:bottom w:val="nil"/>
              <w:right w:val="nil"/>
            </w:tcBorders>
            <w:shd w:val="clear" w:color="000000" w:fill="FFFFFF"/>
            <w:noWrap/>
            <w:vAlign w:val="bottom"/>
            <w:hideMark/>
          </w:tcPr>
          <w:p w14:paraId="6F223FE4" w14:textId="77777777" w:rsidR="00506B94" w:rsidRPr="00846EEE" w:rsidRDefault="00506B94" w:rsidP="00506B94">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lang w:val="x-none"/>
              </w:rPr>
              <w:t xml:space="preserve">    (1,960)</w:t>
            </w:r>
          </w:p>
        </w:tc>
      </w:tr>
      <w:tr w:rsidR="00551D5A" w:rsidRPr="00551D5A" w14:paraId="5113C128" w14:textId="77777777" w:rsidTr="00997EF7">
        <w:trPr>
          <w:trHeight w:val="199"/>
        </w:trPr>
        <w:tc>
          <w:tcPr>
            <w:tcW w:w="5103" w:type="dxa"/>
            <w:tcBorders>
              <w:top w:val="nil"/>
              <w:left w:val="nil"/>
              <w:bottom w:val="nil"/>
              <w:right w:val="nil"/>
            </w:tcBorders>
            <w:shd w:val="clear" w:color="000000" w:fill="FFFFFF"/>
            <w:vAlign w:val="center"/>
            <w:hideMark/>
          </w:tcPr>
          <w:p w14:paraId="7FB10891" w14:textId="77777777" w:rsidR="00506B94" w:rsidRPr="00846EEE" w:rsidRDefault="00506B94" w:rsidP="00997EF7">
            <w:pPr>
              <w:spacing w:after="0" w:line="240" w:lineRule="auto"/>
              <w:ind w:hanging="105"/>
              <w:jc w:val="both"/>
              <w:rPr>
                <w:rFonts w:asciiTheme="minorHAnsi" w:hAnsiTheme="minorHAnsi" w:cstheme="minorHAnsi"/>
                <w:sz w:val="18"/>
                <w:szCs w:val="18"/>
              </w:rPr>
            </w:pPr>
            <w:r w:rsidRPr="00846EEE">
              <w:rPr>
                <w:rFonts w:asciiTheme="minorHAnsi" w:hAnsiTheme="minorHAnsi" w:cstheme="minorHAnsi"/>
                <w:sz w:val="18"/>
                <w:szCs w:val="18"/>
                <w:lang w:val="x-none"/>
              </w:rPr>
              <w:t>Purchase of property, plant and equipment</w:t>
            </w:r>
          </w:p>
        </w:tc>
        <w:tc>
          <w:tcPr>
            <w:tcW w:w="1559" w:type="dxa"/>
            <w:tcBorders>
              <w:top w:val="nil"/>
              <w:left w:val="nil"/>
              <w:bottom w:val="nil"/>
              <w:right w:val="nil"/>
            </w:tcBorders>
            <w:shd w:val="clear" w:color="000000" w:fill="FFFFFF"/>
            <w:vAlign w:val="center"/>
            <w:hideMark/>
          </w:tcPr>
          <w:p w14:paraId="45A2A4D4" w14:textId="4523A07F" w:rsidR="00506B94" w:rsidRPr="00846EEE" w:rsidRDefault="001E4197" w:rsidP="00997EF7">
            <w:pPr>
              <w:spacing w:after="0" w:line="240" w:lineRule="auto"/>
              <w:jc w:val="right"/>
              <w:rPr>
                <w:rFonts w:asciiTheme="minorHAnsi" w:hAnsiTheme="minorHAnsi" w:cstheme="minorHAnsi"/>
                <w:sz w:val="18"/>
                <w:szCs w:val="18"/>
              </w:rPr>
            </w:pPr>
            <w:r>
              <w:rPr>
                <w:rFonts w:asciiTheme="minorHAnsi" w:hAnsiTheme="minorHAnsi" w:cstheme="minorHAnsi"/>
                <w:sz w:val="18"/>
                <w:szCs w:val="18"/>
              </w:rPr>
              <w:t>(362)</w:t>
            </w:r>
            <w:r w:rsidR="00506B94" w:rsidRPr="00846EEE">
              <w:rPr>
                <w:rFonts w:asciiTheme="minorHAnsi" w:hAnsiTheme="minorHAnsi" w:cstheme="minorHAnsi"/>
                <w:sz w:val="18"/>
                <w:szCs w:val="18"/>
              </w:rPr>
              <w:t> </w:t>
            </w:r>
          </w:p>
        </w:tc>
        <w:tc>
          <w:tcPr>
            <w:tcW w:w="1418" w:type="dxa"/>
            <w:tcBorders>
              <w:top w:val="nil"/>
              <w:left w:val="nil"/>
              <w:bottom w:val="nil"/>
              <w:right w:val="nil"/>
            </w:tcBorders>
            <w:shd w:val="clear" w:color="000000" w:fill="FFFFFF"/>
            <w:noWrap/>
            <w:vAlign w:val="bottom"/>
            <w:hideMark/>
          </w:tcPr>
          <w:p w14:paraId="0B9A2020" w14:textId="77777777" w:rsidR="00506B94" w:rsidRPr="00846EEE" w:rsidRDefault="00506B94" w:rsidP="00506B94">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(636)</w:t>
            </w:r>
          </w:p>
        </w:tc>
        <w:tc>
          <w:tcPr>
            <w:tcW w:w="1418" w:type="dxa"/>
            <w:tcBorders>
              <w:top w:val="nil"/>
              <w:left w:val="nil"/>
              <w:bottom w:val="nil"/>
              <w:right w:val="nil"/>
            </w:tcBorders>
            <w:shd w:val="clear" w:color="000000" w:fill="FFFFFF"/>
            <w:noWrap/>
            <w:vAlign w:val="bottom"/>
            <w:hideMark/>
          </w:tcPr>
          <w:p w14:paraId="32CF2D90" w14:textId="77777777" w:rsidR="00506B94" w:rsidRPr="00846EEE" w:rsidRDefault="00506B94" w:rsidP="00506B94">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lang w:val="x-none"/>
              </w:rPr>
              <w:t xml:space="preserve">    (1,843)</w:t>
            </w:r>
          </w:p>
        </w:tc>
      </w:tr>
      <w:tr w:rsidR="00551D5A" w:rsidRPr="00551D5A" w14:paraId="04C2595C" w14:textId="77777777" w:rsidTr="00997EF7">
        <w:trPr>
          <w:trHeight w:val="199"/>
        </w:trPr>
        <w:tc>
          <w:tcPr>
            <w:tcW w:w="5103" w:type="dxa"/>
            <w:tcBorders>
              <w:top w:val="single" w:sz="4" w:space="0" w:color="auto"/>
              <w:left w:val="nil"/>
              <w:bottom w:val="single" w:sz="4" w:space="0" w:color="auto"/>
              <w:right w:val="nil"/>
            </w:tcBorders>
            <w:shd w:val="clear" w:color="000000" w:fill="FFFFFF"/>
            <w:vAlign w:val="center"/>
            <w:hideMark/>
          </w:tcPr>
          <w:p w14:paraId="7DE5FF2F" w14:textId="77777777" w:rsidR="00506B94" w:rsidRPr="00846EEE" w:rsidRDefault="00506B94" w:rsidP="00997EF7">
            <w:pPr>
              <w:spacing w:after="0" w:line="240" w:lineRule="auto"/>
              <w:ind w:hanging="105"/>
              <w:jc w:val="both"/>
              <w:rPr>
                <w:rFonts w:asciiTheme="minorHAnsi" w:hAnsiTheme="minorHAnsi" w:cstheme="minorHAnsi"/>
                <w:b/>
                <w:bCs/>
                <w:sz w:val="18"/>
                <w:szCs w:val="18"/>
              </w:rPr>
            </w:pPr>
            <w:r w:rsidRPr="00846EEE">
              <w:rPr>
                <w:rFonts w:asciiTheme="minorHAnsi" w:hAnsiTheme="minorHAnsi" w:cstheme="minorHAnsi"/>
                <w:b/>
                <w:bCs/>
                <w:sz w:val="18"/>
                <w:szCs w:val="18"/>
                <w:lang w:val="x-none"/>
              </w:rPr>
              <w:t>Net cash used in investing activities</w:t>
            </w:r>
          </w:p>
        </w:tc>
        <w:tc>
          <w:tcPr>
            <w:tcW w:w="1559" w:type="dxa"/>
            <w:tcBorders>
              <w:top w:val="single" w:sz="4" w:space="0" w:color="auto"/>
              <w:left w:val="nil"/>
              <w:bottom w:val="single" w:sz="4" w:space="0" w:color="auto"/>
              <w:right w:val="nil"/>
            </w:tcBorders>
            <w:shd w:val="clear" w:color="000000" w:fill="FFFFFF"/>
            <w:vAlign w:val="center"/>
            <w:hideMark/>
          </w:tcPr>
          <w:p w14:paraId="7B7B9E3D" w14:textId="1E84C0FA" w:rsidR="00506B94" w:rsidRPr="00846EEE" w:rsidRDefault="001E4197" w:rsidP="00997EF7">
            <w:pPr>
              <w:spacing w:after="0" w:line="240" w:lineRule="auto"/>
              <w:jc w:val="right"/>
              <w:rPr>
                <w:rFonts w:asciiTheme="minorHAnsi" w:hAnsiTheme="minorHAnsi" w:cstheme="minorHAnsi"/>
                <w:b/>
                <w:bCs/>
                <w:sz w:val="18"/>
                <w:szCs w:val="18"/>
              </w:rPr>
            </w:pPr>
            <w:r>
              <w:rPr>
                <w:rFonts w:asciiTheme="minorHAnsi" w:hAnsiTheme="minorHAnsi" w:cstheme="minorHAnsi"/>
                <w:b/>
                <w:bCs/>
                <w:sz w:val="18"/>
                <w:szCs w:val="18"/>
              </w:rPr>
              <w:t>(855)</w:t>
            </w:r>
            <w:r w:rsidR="00506B94" w:rsidRPr="00846EEE">
              <w:rPr>
                <w:rFonts w:asciiTheme="minorHAnsi" w:hAnsiTheme="minorHAnsi" w:cstheme="minorHAnsi"/>
                <w:b/>
                <w:bCs/>
                <w:sz w:val="18"/>
                <w:szCs w:val="18"/>
              </w:rPr>
              <w:t> </w:t>
            </w:r>
          </w:p>
        </w:tc>
        <w:tc>
          <w:tcPr>
            <w:tcW w:w="1418" w:type="dxa"/>
            <w:tcBorders>
              <w:top w:val="single" w:sz="4" w:space="0" w:color="auto"/>
              <w:left w:val="nil"/>
              <w:bottom w:val="single" w:sz="4" w:space="0" w:color="auto"/>
              <w:right w:val="nil"/>
            </w:tcBorders>
            <w:shd w:val="clear" w:color="000000" w:fill="FFFFFF"/>
            <w:noWrap/>
            <w:vAlign w:val="bottom"/>
            <w:hideMark/>
          </w:tcPr>
          <w:p w14:paraId="50728737" w14:textId="77777777" w:rsidR="00506B94" w:rsidRPr="00846EEE" w:rsidRDefault="00506B94" w:rsidP="00506B94">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(1,129)</w:t>
            </w:r>
          </w:p>
        </w:tc>
        <w:tc>
          <w:tcPr>
            <w:tcW w:w="1418" w:type="dxa"/>
            <w:tcBorders>
              <w:top w:val="single" w:sz="4" w:space="0" w:color="auto"/>
              <w:left w:val="nil"/>
              <w:bottom w:val="single" w:sz="4" w:space="0" w:color="auto"/>
              <w:right w:val="nil"/>
            </w:tcBorders>
            <w:shd w:val="clear" w:color="000000" w:fill="FFFFFF"/>
            <w:noWrap/>
            <w:vAlign w:val="bottom"/>
            <w:hideMark/>
          </w:tcPr>
          <w:p w14:paraId="54BA28F6" w14:textId="77777777" w:rsidR="00506B94" w:rsidRPr="00846EEE" w:rsidRDefault="00506B94" w:rsidP="00506B94">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lang w:val="x-none"/>
              </w:rPr>
              <w:t xml:space="preserve">    (3,803)</w:t>
            </w:r>
          </w:p>
        </w:tc>
      </w:tr>
      <w:tr w:rsidR="00551D5A" w:rsidRPr="00551D5A" w14:paraId="0A0AB26D" w14:textId="77777777" w:rsidTr="00997EF7">
        <w:trPr>
          <w:trHeight w:val="199"/>
        </w:trPr>
        <w:tc>
          <w:tcPr>
            <w:tcW w:w="5103" w:type="dxa"/>
            <w:tcBorders>
              <w:top w:val="nil"/>
              <w:left w:val="nil"/>
              <w:bottom w:val="nil"/>
              <w:right w:val="nil"/>
            </w:tcBorders>
            <w:shd w:val="clear" w:color="000000" w:fill="FFFFFF"/>
            <w:vAlign w:val="center"/>
            <w:hideMark/>
          </w:tcPr>
          <w:p w14:paraId="2EEAD8CB" w14:textId="77777777" w:rsidR="00506B94" w:rsidRPr="00846EEE" w:rsidRDefault="00506B94" w:rsidP="00997EF7">
            <w:pPr>
              <w:spacing w:after="0" w:line="240" w:lineRule="auto"/>
              <w:ind w:hanging="105"/>
              <w:jc w:val="both"/>
              <w:rPr>
                <w:rFonts w:asciiTheme="minorHAnsi" w:hAnsiTheme="minorHAnsi" w:cstheme="minorHAnsi"/>
                <w:b/>
                <w:bCs/>
                <w:sz w:val="18"/>
                <w:szCs w:val="18"/>
              </w:rPr>
            </w:pPr>
            <w:r w:rsidRPr="00846EEE">
              <w:rPr>
                <w:rFonts w:asciiTheme="minorHAnsi" w:hAnsiTheme="minorHAnsi" w:cstheme="minorHAnsi"/>
                <w:b/>
                <w:bCs/>
                <w:sz w:val="18"/>
                <w:szCs w:val="18"/>
                <w:lang w:val="x-none"/>
              </w:rPr>
              <w:t>Cash flows used in financing activities</w:t>
            </w:r>
          </w:p>
        </w:tc>
        <w:tc>
          <w:tcPr>
            <w:tcW w:w="1559" w:type="dxa"/>
            <w:tcBorders>
              <w:top w:val="nil"/>
              <w:left w:val="nil"/>
              <w:bottom w:val="nil"/>
              <w:right w:val="nil"/>
            </w:tcBorders>
            <w:shd w:val="clear" w:color="000000" w:fill="FFFFFF"/>
            <w:vAlign w:val="center"/>
            <w:hideMark/>
          </w:tcPr>
          <w:p w14:paraId="028BAA55" w14:textId="77777777" w:rsidR="00506B94" w:rsidRPr="00846EEE" w:rsidRDefault="00506B94" w:rsidP="00997EF7">
            <w:pPr>
              <w:spacing w:after="0" w:line="240" w:lineRule="auto"/>
              <w:jc w:val="right"/>
              <w:rPr>
                <w:rFonts w:asciiTheme="minorHAnsi" w:hAnsiTheme="minorHAnsi" w:cstheme="minorHAnsi"/>
                <w:b/>
                <w:bCs/>
                <w:sz w:val="18"/>
                <w:szCs w:val="18"/>
              </w:rPr>
            </w:pPr>
            <w:r w:rsidRPr="00846EEE">
              <w:rPr>
                <w:rFonts w:asciiTheme="minorHAnsi" w:hAnsiTheme="minorHAnsi" w:cstheme="minorHAnsi"/>
                <w:b/>
                <w:bCs/>
                <w:sz w:val="18"/>
                <w:szCs w:val="18"/>
              </w:rPr>
              <w:t> </w:t>
            </w:r>
          </w:p>
        </w:tc>
        <w:tc>
          <w:tcPr>
            <w:tcW w:w="1418" w:type="dxa"/>
            <w:tcBorders>
              <w:top w:val="nil"/>
              <w:left w:val="nil"/>
              <w:bottom w:val="nil"/>
              <w:right w:val="nil"/>
            </w:tcBorders>
            <w:shd w:val="clear" w:color="000000" w:fill="FFFFFF"/>
            <w:noWrap/>
            <w:vAlign w:val="bottom"/>
            <w:hideMark/>
          </w:tcPr>
          <w:p w14:paraId="43123667" w14:textId="77777777" w:rsidR="00506B94" w:rsidRPr="00846EEE" w:rsidRDefault="00506B94" w:rsidP="00506B94">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w:t>
            </w:r>
          </w:p>
        </w:tc>
        <w:tc>
          <w:tcPr>
            <w:tcW w:w="1418" w:type="dxa"/>
            <w:tcBorders>
              <w:top w:val="nil"/>
              <w:left w:val="nil"/>
              <w:bottom w:val="nil"/>
              <w:right w:val="nil"/>
            </w:tcBorders>
            <w:shd w:val="clear" w:color="000000" w:fill="FFFFFF"/>
            <w:noWrap/>
            <w:vAlign w:val="bottom"/>
            <w:hideMark/>
          </w:tcPr>
          <w:p w14:paraId="2CBDD7C0" w14:textId="77777777" w:rsidR="00506B94" w:rsidRPr="00846EEE" w:rsidRDefault="00506B94" w:rsidP="00506B94">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lang w:val="x-none"/>
              </w:rPr>
              <w:t> </w:t>
            </w:r>
          </w:p>
        </w:tc>
      </w:tr>
      <w:tr w:rsidR="00551D5A" w:rsidRPr="00551D5A" w14:paraId="606919FE" w14:textId="77777777" w:rsidTr="00997EF7">
        <w:trPr>
          <w:trHeight w:val="199"/>
        </w:trPr>
        <w:tc>
          <w:tcPr>
            <w:tcW w:w="5103" w:type="dxa"/>
            <w:tcBorders>
              <w:top w:val="nil"/>
              <w:left w:val="nil"/>
              <w:bottom w:val="nil"/>
              <w:right w:val="nil"/>
            </w:tcBorders>
            <w:shd w:val="clear" w:color="000000" w:fill="FFFFFF"/>
            <w:vAlign w:val="center"/>
            <w:hideMark/>
          </w:tcPr>
          <w:p w14:paraId="576BB29F" w14:textId="6A21573C" w:rsidR="00506B94" w:rsidRPr="00846EEE" w:rsidRDefault="001E4197" w:rsidP="00997EF7">
            <w:pPr>
              <w:spacing w:after="0" w:line="240" w:lineRule="auto"/>
              <w:ind w:hanging="105"/>
              <w:jc w:val="both"/>
              <w:rPr>
                <w:rFonts w:asciiTheme="minorHAnsi" w:hAnsiTheme="minorHAnsi" w:cstheme="minorHAnsi"/>
                <w:sz w:val="18"/>
                <w:szCs w:val="18"/>
              </w:rPr>
            </w:pPr>
            <w:r>
              <w:rPr>
                <w:rFonts w:asciiTheme="minorHAnsi" w:hAnsiTheme="minorHAnsi" w:cstheme="minorHAnsi"/>
                <w:sz w:val="18"/>
                <w:szCs w:val="18"/>
              </w:rPr>
              <w:t>(Purchase)/s</w:t>
            </w:r>
            <w:r w:rsidR="00506B94" w:rsidRPr="00846EEE">
              <w:rPr>
                <w:rFonts w:asciiTheme="minorHAnsi" w:hAnsiTheme="minorHAnsi" w:cstheme="minorHAnsi"/>
                <w:sz w:val="18"/>
                <w:szCs w:val="18"/>
              </w:rPr>
              <w:t>ale of own shares</w:t>
            </w:r>
          </w:p>
        </w:tc>
        <w:tc>
          <w:tcPr>
            <w:tcW w:w="1559" w:type="dxa"/>
            <w:tcBorders>
              <w:top w:val="nil"/>
              <w:left w:val="nil"/>
              <w:bottom w:val="nil"/>
              <w:right w:val="nil"/>
            </w:tcBorders>
            <w:shd w:val="clear" w:color="000000" w:fill="FFFFFF"/>
            <w:vAlign w:val="center"/>
            <w:hideMark/>
          </w:tcPr>
          <w:p w14:paraId="59B07259" w14:textId="2FBA77EF" w:rsidR="00506B94" w:rsidRPr="00846EEE" w:rsidRDefault="001E4197" w:rsidP="00997EF7">
            <w:pPr>
              <w:spacing w:after="0" w:line="240" w:lineRule="auto"/>
              <w:jc w:val="right"/>
              <w:rPr>
                <w:rFonts w:asciiTheme="minorHAnsi" w:hAnsiTheme="minorHAnsi" w:cstheme="minorHAnsi"/>
                <w:sz w:val="18"/>
                <w:szCs w:val="18"/>
              </w:rPr>
            </w:pPr>
            <w:r>
              <w:rPr>
                <w:rFonts w:asciiTheme="minorHAnsi" w:hAnsiTheme="minorHAnsi" w:cstheme="minorHAnsi"/>
                <w:sz w:val="18"/>
                <w:szCs w:val="18"/>
              </w:rPr>
              <w:t>(298)</w:t>
            </w:r>
            <w:r w:rsidR="00506B94" w:rsidRPr="00846EEE">
              <w:rPr>
                <w:rFonts w:asciiTheme="minorHAnsi" w:hAnsiTheme="minorHAnsi" w:cstheme="minorHAnsi"/>
                <w:sz w:val="18"/>
                <w:szCs w:val="18"/>
              </w:rPr>
              <w:t> </w:t>
            </w:r>
          </w:p>
        </w:tc>
        <w:tc>
          <w:tcPr>
            <w:tcW w:w="1418" w:type="dxa"/>
            <w:tcBorders>
              <w:top w:val="nil"/>
              <w:left w:val="nil"/>
              <w:bottom w:val="nil"/>
              <w:right w:val="nil"/>
            </w:tcBorders>
            <w:shd w:val="clear" w:color="000000" w:fill="FFFFFF"/>
            <w:noWrap/>
            <w:vAlign w:val="bottom"/>
            <w:hideMark/>
          </w:tcPr>
          <w:p w14:paraId="611FB272" w14:textId="77643909" w:rsidR="00506B94" w:rsidRPr="00846EEE" w:rsidRDefault="001E4197" w:rsidP="00506B94">
            <w:pPr>
              <w:spacing w:after="0" w:line="240" w:lineRule="auto"/>
              <w:jc w:val="right"/>
              <w:rPr>
                <w:rFonts w:asciiTheme="minorHAnsi" w:hAnsiTheme="minorHAnsi" w:cstheme="minorHAnsi"/>
                <w:color w:val="000000"/>
                <w:sz w:val="18"/>
                <w:szCs w:val="18"/>
              </w:rPr>
            </w:pPr>
            <w:r>
              <w:rPr>
                <w:rFonts w:asciiTheme="minorHAnsi" w:hAnsiTheme="minorHAnsi" w:cstheme="minorHAnsi"/>
                <w:color w:val="000000"/>
                <w:sz w:val="18"/>
                <w:szCs w:val="18"/>
              </w:rPr>
              <w:t>-</w:t>
            </w:r>
            <w:r w:rsidR="00506B94" w:rsidRPr="00846EEE">
              <w:rPr>
                <w:rFonts w:asciiTheme="minorHAnsi" w:hAnsiTheme="minorHAnsi" w:cstheme="minorHAnsi"/>
                <w:color w:val="000000"/>
                <w:sz w:val="18"/>
                <w:szCs w:val="18"/>
              </w:rPr>
              <w:t> </w:t>
            </w:r>
          </w:p>
        </w:tc>
        <w:tc>
          <w:tcPr>
            <w:tcW w:w="1418" w:type="dxa"/>
            <w:tcBorders>
              <w:top w:val="nil"/>
              <w:left w:val="nil"/>
              <w:bottom w:val="nil"/>
              <w:right w:val="nil"/>
            </w:tcBorders>
            <w:shd w:val="clear" w:color="000000" w:fill="FFFFFF"/>
            <w:noWrap/>
            <w:vAlign w:val="bottom"/>
            <w:hideMark/>
          </w:tcPr>
          <w:p w14:paraId="180DB1C2" w14:textId="77777777" w:rsidR="00506B94" w:rsidRPr="00846EEE" w:rsidRDefault="00506B94" w:rsidP="00506B94">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373 </w:t>
            </w:r>
          </w:p>
        </w:tc>
      </w:tr>
      <w:tr w:rsidR="00551D5A" w:rsidRPr="00551D5A" w14:paraId="33F24D9A" w14:textId="77777777" w:rsidTr="00997EF7">
        <w:trPr>
          <w:trHeight w:val="199"/>
        </w:trPr>
        <w:tc>
          <w:tcPr>
            <w:tcW w:w="5103" w:type="dxa"/>
            <w:tcBorders>
              <w:top w:val="nil"/>
              <w:left w:val="nil"/>
              <w:bottom w:val="nil"/>
              <w:right w:val="nil"/>
            </w:tcBorders>
            <w:shd w:val="clear" w:color="000000" w:fill="FFFFFF"/>
            <w:vAlign w:val="center"/>
            <w:hideMark/>
          </w:tcPr>
          <w:p w14:paraId="3B172028" w14:textId="77777777" w:rsidR="00506B94" w:rsidRPr="00846EEE" w:rsidRDefault="00506B94" w:rsidP="00997EF7">
            <w:pPr>
              <w:spacing w:after="0" w:line="240" w:lineRule="auto"/>
              <w:ind w:hanging="105"/>
              <w:jc w:val="both"/>
              <w:rPr>
                <w:rFonts w:asciiTheme="minorHAnsi" w:hAnsiTheme="minorHAnsi" w:cstheme="minorHAnsi"/>
                <w:sz w:val="18"/>
                <w:szCs w:val="18"/>
              </w:rPr>
            </w:pPr>
            <w:r w:rsidRPr="00846EEE">
              <w:rPr>
                <w:rFonts w:asciiTheme="minorHAnsi" w:hAnsiTheme="minorHAnsi" w:cstheme="minorHAnsi"/>
                <w:sz w:val="18"/>
                <w:szCs w:val="18"/>
                <w:lang w:val="x-none"/>
              </w:rPr>
              <w:t>Proceeds from borrowings</w:t>
            </w:r>
          </w:p>
        </w:tc>
        <w:tc>
          <w:tcPr>
            <w:tcW w:w="1559" w:type="dxa"/>
            <w:tcBorders>
              <w:top w:val="nil"/>
              <w:left w:val="nil"/>
              <w:bottom w:val="nil"/>
              <w:right w:val="nil"/>
            </w:tcBorders>
            <w:shd w:val="clear" w:color="000000" w:fill="FFFFFF"/>
            <w:vAlign w:val="center"/>
            <w:hideMark/>
          </w:tcPr>
          <w:p w14:paraId="0139742E" w14:textId="6FAC2C83" w:rsidR="00506B94" w:rsidRPr="00846EEE" w:rsidRDefault="001E4197" w:rsidP="00997EF7">
            <w:pPr>
              <w:spacing w:after="0" w:line="240" w:lineRule="auto"/>
              <w:jc w:val="right"/>
              <w:rPr>
                <w:rFonts w:asciiTheme="minorHAnsi" w:hAnsiTheme="minorHAnsi" w:cstheme="minorHAnsi"/>
                <w:sz w:val="18"/>
                <w:szCs w:val="18"/>
              </w:rPr>
            </w:pPr>
            <w:r>
              <w:rPr>
                <w:rFonts w:asciiTheme="minorHAnsi" w:hAnsiTheme="minorHAnsi" w:cstheme="minorHAnsi"/>
                <w:sz w:val="18"/>
                <w:szCs w:val="18"/>
              </w:rPr>
              <w:t>8,344</w:t>
            </w:r>
            <w:r w:rsidR="00506B94" w:rsidRPr="00846EEE">
              <w:rPr>
                <w:rFonts w:asciiTheme="minorHAnsi" w:hAnsiTheme="minorHAnsi" w:cstheme="minorHAnsi"/>
                <w:sz w:val="18"/>
                <w:szCs w:val="18"/>
              </w:rPr>
              <w:t> </w:t>
            </w:r>
          </w:p>
        </w:tc>
        <w:tc>
          <w:tcPr>
            <w:tcW w:w="1418" w:type="dxa"/>
            <w:tcBorders>
              <w:top w:val="nil"/>
              <w:left w:val="nil"/>
              <w:bottom w:val="nil"/>
              <w:right w:val="nil"/>
            </w:tcBorders>
            <w:shd w:val="clear" w:color="000000" w:fill="FFFFFF"/>
            <w:noWrap/>
            <w:vAlign w:val="bottom"/>
            <w:hideMark/>
          </w:tcPr>
          <w:p w14:paraId="142AAD6E" w14:textId="77777777" w:rsidR="00506B94" w:rsidRPr="00846EEE" w:rsidRDefault="00506B94" w:rsidP="00506B94">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12,493 </w:t>
            </w:r>
          </w:p>
        </w:tc>
        <w:tc>
          <w:tcPr>
            <w:tcW w:w="1418" w:type="dxa"/>
            <w:tcBorders>
              <w:top w:val="nil"/>
              <w:left w:val="nil"/>
              <w:bottom w:val="nil"/>
              <w:right w:val="nil"/>
            </w:tcBorders>
            <w:shd w:val="clear" w:color="000000" w:fill="FFFFFF"/>
            <w:noWrap/>
            <w:vAlign w:val="bottom"/>
            <w:hideMark/>
          </w:tcPr>
          <w:p w14:paraId="444C0896" w14:textId="77777777" w:rsidR="00506B94" w:rsidRPr="00846EEE" w:rsidRDefault="00506B94" w:rsidP="00506B94">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14,347 </w:t>
            </w:r>
          </w:p>
        </w:tc>
      </w:tr>
      <w:tr w:rsidR="00551D5A" w:rsidRPr="00551D5A" w14:paraId="0ABE57B6" w14:textId="77777777" w:rsidTr="00997EF7">
        <w:trPr>
          <w:trHeight w:val="199"/>
        </w:trPr>
        <w:tc>
          <w:tcPr>
            <w:tcW w:w="5103" w:type="dxa"/>
            <w:tcBorders>
              <w:top w:val="nil"/>
              <w:left w:val="nil"/>
              <w:bottom w:val="nil"/>
              <w:right w:val="nil"/>
            </w:tcBorders>
            <w:shd w:val="clear" w:color="000000" w:fill="FFFFFF"/>
            <w:vAlign w:val="center"/>
            <w:hideMark/>
          </w:tcPr>
          <w:p w14:paraId="7197ECB3" w14:textId="77777777" w:rsidR="00506B94" w:rsidRPr="00846EEE" w:rsidRDefault="00506B94" w:rsidP="00997EF7">
            <w:pPr>
              <w:spacing w:after="0" w:line="240" w:lineRule="auto"/>
              <w:ind w:hanging="105"/>
              <w:jc w:val="both"/>
              <w:rPr>
                <w:rFonts w:asciiTheme="minorHAnsi" w:hAnsiTheme="minorHAnsi" w:cstheme="minorHAnsi"/>
                <w:sz w:val="18"/>
                <w:szCs w:val="18"/>
              </w:rPr>
            </w:pPr>
            <w:r w:rsidRPr="00846EEE">
              <w:rPr>
                <w:rFonts w:asciiTheme="minorHAnsi" w:hAnsiTheme="minorHAnsi" w:cstheme="minorHAnsi"/>
                <w:sz w:val="18"/>
                <w:szCs w:val="18"/>
                <w:lang w:val="x-none"/>
              </w:rPr>
              <w:t>Repayment of borrowings</w:t>
            </w:r>
          </w:p>
        </w:tc>
        <w:tc>
          <w:tcPr>
            <w:tcW w:w="1559" w:type="dxa"/>
            <w:tcBorders>
              <w:top w:val="nil"/>
              <w:left w:val="nil"/>
              <w:bottom w:val="nil"/>
              <w:right w:val="nil"/>
            </w:tcBorders>
            <w:shd w:val="clear" w:color="000000" w:fill="FFFFFF"/>
            <w:vAlign w:val="center"/>
            <w:hideMark/>
          </w:tcPr>
          <w:p w14:paraId="6C609479" w14:textId="23927A3A" w:rsidR="00506B94" w:rsidRPr="00846EEE" w:rsidRDefault="001E4197" w:rsidP="00997EF7">
            <w:pPr>
              <w:spacing w:after="0" w:line="240" w:lineRule="auto"/>
              <w:jc w:val="right"/>
              <w:rPr>
                <w:rFonts w:asciiTheme="minorHAnsi" w:hAnsiTheme="minorHAnsi" w:cstheme="minorHAnsi"/>
                <w:sz w:val="18"/>
                <w:szCs w:val="18"/>
              </w:rPr>
            </w:pPr>
            <w:r>
              <w:rPr>
                <w:rFonts w:asciiTheme="minorHAnsi" w:hAnsiTheme="minorHAnsi" w:cstheme="minorHAnsi"/>
                <w:sz w:val="18"/>
                <w:szCs w:val="18"/>
              </w:rPr>
              <w:t>(14,426)</w:t>
            </w:r>
            <w:r w:rsidR="00506B94" w:rsidRPr="00846EEE">
              <w:rPr>
                <w:rFonts w:asciiTheme="minorHAnsi" w:hAnsiTheme="minorHAnsi" w:cstheme="minorHAnsi"/>
                <w:sz w:val="18"/>
                <w:szCs w:val="18"/>
              </w:rPr>
              <w:t> </w:t>
            </w:r>
          </w:p>
        </w:tc>
        <w:tc>
          <w:tcPr>
            <w:tcW w:w="1418" w:type="dxa"/>
            <w:tcBorders>
              <w:top w:val="nil"/>
              <w:left w:val="nil"/>
              <w:bottom w:val="nil"/>
              <w:right w:val="nil"/>
            </w:tcBorders>
            <w:shd w:val="clear" w:color="000000" w:fill="FFFFFF"/>
            <w:noWrap/>
            <w:vAlign w:val="bottom"/>
            <w:hideMark/>
          </w:tcPr>
          <w:p w14:paraId="502CD320" w14:textId="77777777" w:rsidR="00506B94" w:rsidRPr="00846EEE" w:rsidRDefault="00506B94" w:rsidP="00506B94">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(1,000)</w:t>
            </w:r>
          </w:p>
        </w:tc>
        <w:tc>
          <w:tcPr>
            <w:tcW w:w="1418" w:type="dxa"/>
            <w:tcBorders>
              <w:top w:val="nil"/>
              <w:left w:val="nil"/>
              <w:bottom w:val="nil"/>
              <w:right w:val="nil"/>
            </w:tcBorders>
            <w:shd w:val="clear" w:color="000000" w:fill="FFFFFF"/>
            <w:noWrap/>
            <w:vAlign w:val="bottom"/>
            <w:hideMark/>
          </w:tcPr>
          <w:p w14:paraId="62AC657D" w14:textId="77777777" w:rsidR="00506B94" w:rsidRPr="00846EEE" w:rsidRDefault="00506B94" w:rsidP="00506B94">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lang w:val="x-none"/>
              </w:rPr>
              <w:t xml:space="preserve">    (2,766)</w:t>
            </w:r>
          </w:p>
        </w:tc>
      </w:tr>
      <w:tr w:rsidR="00551D5A" w:rsidRPr="00551D5A" w14:paraId="6FACE374" w14:textId="77777777" w:rsidTr="00997EF7">
        <w:trPr>
          <w:trHeight w:val="199"/>
        </w:trPr>
        <w:tc>
          <w:tcPr>
            <w:tcW w:w="5103" w:type="dxa"/>
            <w:tcBorders>
              <w:top w:val="nil"/>
              <w:left w:val="nil"/>
              <w:bottom w:val="nil"/>
              <w:right w:val="nil"/>
            </w:tcBorders>
            <w:shd w:val="clear" w:color="000000" w:fill="FFFFFF"/>
            <w:vAlign w:val="center"/>
            <w:hideMark/>
          </w:tcPr>
          <w:p w14:paraId="433798CA" w14:textId="77777777" w:rsidR="00506B94" w:rsidRPr="00846EEE" w:rsidRDefault="00506B94" w:rsidP="00997EF7">
            <w:pPr>
              <w:spacing w:after="0" w:line="240" w:lineRule="auto"/>
              <w:ind w:hanging="105"/>
              <w:jc w:val="both"/>
              <w:rPr>
                <w:rFonts w:asciiTheme="minorHAnsi" w:hAnsiTheme="minorHAnsi" w:cstheme="minorHAnsi"/>
                <w:sz w:val="18"/>
                <w:szCs w:val="18"/>
              </w:rPr>
            </w:pPr>
            <w:r w:rsidRPr="00846EEE">
              <w:rPr>
                <w:rFonts w:asciiTheme="minorHAnsi" w:hAnsiTheme="minorHAnsi" w:cstheme="minorHAnsi"/>
                <w:sz w:val="18"/>
                <w:szCs w:val="18"/>
              </w:rPr>
              <w:t>Principal paid on lease obligations</w:t>
            </w:r>
          </w:p>
        </w:tc>
        <w:tc>
          <w:tcPr>
            <w:tcW w:w="1559" w:type="dxa"/>
            <w:tcBorders>
              <w:top w:val="nil"/>
              <w:left w:val="nil"/>
              <w:bottom w:val="nil"/>
              <w:right w:val="nil"/>
            </w:tcBorders>
            <w:shd w:val="clear" w:color="000000" w:fill="FFFFFF"/>
            <w:vAlign w:val="center"/>
            <w:hideMark/>
          </w:tcPr>
          <w:p w14:paraId="46ED55A6" w14:textId="5ACFF744" w:rsidR="00506B94" w:rsidRPr="00846EEE" w:rsidRDefault="001E4197" w:rsidP="00997EF7">
            <w:pPr>
              <w:spacing w:after="0" w:line="240" w:lineRule="auto"/>
              <w:jc w:val="right"/>
              <w:rPr>
                <w:rFonts w:asciiTheme="minorHAnsi" w:hAnsiTheme="minorHAnsi" w:cstheme="minorHAnsi"/>
                <w:sz w:val="18"/>
                <w:szCs w:val="18"/>
              </w:rPr>
            </w:pPr>
            <w:r>
              <w:rPr>
                <w:rFonts w:asciiTheme="minorHAnsi" w:hAnsiTheme="minorHAnsi" w:cstheme="minorHAnsi"/>
                <w:sz w:val="18"/>
                <w:szCs w:val="18"/>
              </w:rPr>
              <w:t>(424)</w:t>
            </w:r>
            <w:r w:rsidR="00506B94" w:rsidRPr="00846EEE">
              <w:rPr>
                <w:rFonts w:asciiTheme="minorHAnsi" w:hAnsiTheme="minorHAnsi" w:cstheme="minorHAnsi"/>
                <w:sz w:val="18"/>
                <w:szCs w:val="18"/>
              </w:rPr>
              <w:t> </w:t>
            </w:r>
          </w:p>
        </w:tc>
        <w:tc>
          <w:tcPr>
            <w:tcW w:w="1418" w:type="dxa"/>
            <w:tcBorders>
              <w:top w:val="nil"/>
              <w:left w:val="nil"/>
              <w:bottom w:val="nil"/>
              <w:right w:val="nil"/>
            </w:tcBorders>
            <w:shd w:val="clear" w:color="000000" w:fill="FFFFFF"/>
            <w:noWrap/>
            <w:vAlign w:val="bottom"/>
            <w:hideMark/>
          </w:tcPr>
          <w:p w14:paraId="19FB9A19" w14:textId="77777777" w:rsidR="00506B94" w:rsidRPr="00846EEE" w:rsidRDefault="00506B94" w:rsidP="00506B94">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(497)</w:t>
            </w:r>
          </w:p>
        </w:tc>
        <w:tc>
          <w:tcPr>
            <w:tcW w:w="1418" w:type="dxa"/>
            <w:tcBorders>
              <w:top w:val="nil"/>
              <w:left w:val="nil"/>
              <w:bottom w:val="nil"/>
              <w:right w:val="nil"/>
            </w:tcBorders>
            <w:shd w:val="clear" w:color="000000" w:fill="FFFFFF"/>
            <w:noWrap/>
            <w:vAlign w:val="bottom"/>
            <w:hideMark/>
          </w:tcPr>
          <w:p w14:paraId="64536DEC" w14:textId="77777777" w:rsidR="00506B94" w:rsidRPr="00846EEE" w:rsidRDefault="00506B94" w:rsidP="00506B94">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lang w:val="x-none"/>
              </w:rPr>
              <w:t xml:space="preserve">       (936)</w:t>
            </w:r>
          </w:p>
        </w:tc>
      </w:tr>
      <w:tr w:rsidR="001E4197" w:rsidRPr="00551D5A" w14:paraId="680DC945" w14:textId="77777777" w:rsidTr="00997EF7">
        <w:trPr>
          <w:trHeight w:val="199"/>
        </w:trPr>
        <w:tc>
          <w:tcPr>
            <w:tcW w:w="5103" w:type="dxa"/>
            <w:tcBorders>
              <w:top w:val="nil"/>
              <w:left w:val="nil"/>
              <w:bottom w:val="nil"/>
              <w:right w:val="nil"/>
            </w:tcBorders>
            <w:shd w:val="clear" w:color="000000" w:fill="FFFFFF"/>
            <w:vAlign w:val="center"/>
            <w:hideMark/>
          </w:tcPr>
          <w:p w14:paraId="3338AC43" w14:textId="77777777" w:rsidR="001E4197" w:rsidRPr="00846EEE" w:rsidRDefault="001E4197" w:rsidP="00997EF7">
            <w:pPr>
              <w:spacing w:after="0" w:line="240" w:lineRule="auto"/>
              <w:ind w:hanging="105"/>
              <w:jc w:val="both"/>
              <w:rPr>
                <w:rFonts w:asciiTheme="minorHAnsi" w:hAnsiTheme="minorHAnsi" w:cstheme="minorHAnsi"/>
                <w:sz w:val="18"/>
                <w:szCs w:val="18"/>
              </w:rPr>
            </w:pPr>
            <w:r w:rsidRPr="00846EEE">
              <w:rPr>
                <w:rFonts w:asciiTheme="minorHAnsi" w:hAnsiTheme="minorHAnsi" w:cstheme="minorHAnsi"/>
                <w:sz w:val="18"/>
                <w:szCs w:val="18"/>
                <w:lang w:val="x-none"/>
              </w:rPr>
              <w:t>Debt issue costs paid</w:t>
            </w:r>
          </w:p>
        </w:tc>
        <w:tc>
          <w:tcPr>
            <w:tcW w:w="1559" w:type="dxa"/>
            <w:tcBorders>
              <w:top w:val="nil"/>
              <w:left w:val="nil"/>
              <w:bottom w:val="nil"/>
              <w:right w:val="nil"/>
            </w:tcBorders>
            <w:shd w:val="clear" w:color="000000" w:fill="FFFFFF"/>
            <w:vAlign w:val="center"/>
            <w:hideMark/>
          </w:tcPr>
          <w:p w14:paraId="203564E7" w14:textId="1D8650E0" w:rsidR="001E4197" w:rsidRPr="00846EEE" w:rsidRDefault="001E4197" w:rsidP="00997EF7">
            <w:pPr>
              <w:spacing w:after="0" w:line="240" w:lineRule="auto"/>
              <w:jc w:val="right"/>
              <w:rPr>
                <w:rFonts w:asciiTheme="minorHAnsi" w:hAnsiTheme="minorHAnsi" w:cstheme="minorHAnsi"/>
                <w:sz w:val="18"/>
                <w:szCs w:val="18"/>
              </w:rPr>
            </w:pPr>
            <w:r>
              <w:rPr>
                <w:rFonts w:asciiTheme="minorHAnsi" w:hAnsiTheme="minorHAnsi" w:cstheme="minorHAnsi"/>
                <w:sz w:val="18"/>
                <w:szCs w:val="18"/>
              </w:rPr>
              <w:t>(93)</w:t>
            </w:r>
            <w:r w:rsidRPr="00846EEE">
              <w:rPr>
                <w:rFonts w:asciiTheme="minorHAnsi" w:hAnsiTheme="minorHAnsi" w:cstheme="minorHAnsi"/>
                <w:sz w:val="18"/>
                <w:szCs w:val="18"/>
              </w:rPr>
              <w:t> </w:t>
            </w:r>
          </w:p>
        </w:tc>
        <w:tc>
          <w:tcPr>
            <w:tcW w:w="1418" w:type="dxa"/>
            <w:tcBorders>
              <w:top w:val="nil"/>
              <w:left w:val="nil"/>
              <w:bottom w:val="nil"/>
              <w:right w:val="nil"/>
            </w:tcBorders>
            <w:shd w:val="clear" w:color="000000" w:fill="FFFFFF"/>
            <w:noWrap/>
            <w:vAlign w:val="bottom"/>
            <w:hideMark/>
          </w:tcPr>
          <w:p w14:paraId="3B6CAE3C" w14:textId="77777777" w:rsidR="001E4197" w:rsidRPr="00846EEE" w:rsidRDefault="001E4197" w:rsidP="001E4197">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   </w:t>
            </w:r>
          </w:p>
        </w:tc>
        <w:tc>
          <w:tcPr>
            <w:tcW w:w="1418" w:type="dxa"/>
            <w:tcBorders>
              <w:top w:val="nil"/>
              <w:left w:val="nil"/>
              <w:bottom w:val="nil"/>
              <w:right w:val="nil"/>
            </w:tcBorders>
            <w:shd w:val="clear" w:color="000000" w:fill="FFFFFF"/>
            <w:noWrap/>
            <w:vAlign w:val="bottom"/>
            <w:hideMark/>
          </w:tcPr>
          <w:p w14:paraId="5365161A" w14:textId="1C1C8452" w:rsidR="001E4197" w:rsidRPr="00846EEE" w:rsidRDefault="001E4197" w:rsidP="001E4197">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   </w:t>
            </w:r>
          </w:p>
        </w:tc>
      </w:tr>
      <w:tr w:rsidR="00551D5A" w:rsidRPr="00551D5A" w14:paraId="27E40882" w14:textId="77777777" w:rsidTr="00997EF7">
        <w:trPr>
          <w:trHeight w:val="199"/>
        </w:trPr>
        <w:tc>
          <w:tcPr>
            <w:tcW w:w="5103" w:type="dxa"/>
            <w:tcBorders>
              <w:top w:val="nil"/>
              <w:left w:val="nil"/>
              <w:bottom w:val="nil"/>
              <w:right w:val="nil"/>
            </w:tcBorders>
            <w:shd w:val="clear" w:color="000000" w:fill="FFFFFF"/>
            <w:vAlign w:val="center"/>
            <w:hideMark/>
          </w:tcPr>
          <w:p w14:paraId="73EF567F" w14:textId="77777777" w:rsidR="00506B94" w:rsidRPr="00846EEE" w:rsidRDefault="00506B94" w:rsidP="00997EF7">
            <w:pPr>
              <w:spacing w:after="0" w:line="240" w:lineRule="auto"/>
              <w:ind w:hanging="105"/>
              <w:jc w:val="both"/>
              <w:rPr>
                <w:rFonts w:asciiTheme="minorHAnsi" w:hAnsiTheme="minorHAnsi" w:cstheme="minorHAnsi"/>
                <w:sz w:val="18"/>
                <w:szCs w:val="18"/>
              </w:rPr>
            </w:pPr>
            <w:r w:rsidRPr="00846EEE">
              <w:rPr>
                <w:rFonts w:asciiTheme="minorHAnsi" w:hAnsiTheme="minorHAnsi" w:cstheme="minorHAnsi"/>
                <w:sz w:val="18"/>
                <w:szCs w:val="18"/>
                <w:lang w:val="x-none"/>
              </w:rPr>
              <w:t>Dividends paid</w:t>
            </w:r>
          </w:p>
        </w:tc>
        <w:tc>
          <w:tcPr>
            <w:tcW w:w="1559" w:type="dxa"/>
            <w:tcBorders>
              <w:top w:val="nil"/>
              <w:left w:val="nil"/>
              <w:bottom w:val="nil"/>
              <w:right w:val="nil"/>
            </w:tcBorders>
            <w:shd w:val="clear" w:color="000000" w:fill="FFFFFF"/>
            <w:vAlign w:val="center"/>
            <w:hideMark/>
          </w:tcPr>
          <w:p w14:paraId="3FD63EB2" w14:textId="65E26356" w:rsidR="00506B94" w:rsidRPr="00846EEE" w:rsidRDefault="001E4197" w:rsidP="00997EF7">
            <w:pPr>
              <w:spacing w:after="0" w:line="240" w:lineRule="auto"/>
              <w:jc w:val="right"/>
              <w:rPr>
                <w:rFonts w:asciiTheme="minorHAnsi" w:hAnsiTheme="minorHAnsi" w:cstheme="minorHAnsi"/>
                <w:sz w:val="18"/>
                <w:szCs w:val="18"/>
              </w:rPr>
            </w:pPr>
            <w:r>
              <w:rPr>
                <w:rFonts w:asciiTheme="minorHAnsi" w:hAnsiTheme="minorHAnsi" w:cstheme="minorHAnsi"/>
                <w:sz w:val="18"/>
                <w:szCs w:val="18"/>
              </w:rPr>
              <w:t>(4,157)</w:t>
            </w:r>
            <w:r w:rsidR="00506B94" w:rsidRPr="00846EEE">
              <w:rPr>
                <w:rFonts w:asciiTheme="minorHAnsi" w:hAnsiTheme="minorHAnsi" w:cstheme="minorHAnsi"/>
                <w:sz w:val="18"/>
                <w:szCs w:val="18"/>
              </w:rPr>
              <w:t> </w:t>
            </w:r>
          </w:p>
        </w:tc>
        <w:tc>
          <w:tcPr>
            <w:tcW w:w="1418" w:type="dxa"/>
            <w:tcBorders>
              <w:top w:val="nil"/>
              <w:left w:val="nil"/>
              <w:bottom w:val="nil"/>
              <w:right w:val="nil"/>
            </w:tcBorders>
            <w:shd w:val="clear" w:color="000000" w:fill="FFFFFF"/>
            <w:noWrap/>
            <w:vAlign w:val="bottom"/>
            <w:hideMark/>
          </w:tcPr>
          <w:p w14:paraId="1930168C" w14:textId="77777777" w:rsidR="00506B94" w:rsidRPr="00846EEE" w:rsidRDefault="00506B94" w:rsidP="00506B94">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(2,844)</w:t>
            </w:r>
          </w:p>
        </w:tc>
        <w:tc>
          <w:tcPr>
            <w:tcW w:w="1418" w:type="dxa"/>
            <w:tcBorders>
              <w:top w:val="nil"/>
              <w:left w:val="nil"/>
              <w:bottom w:val="nil"/>
              <w:right w:val="nil"/>
            </w:tcBorders>
            <w:shd w:val="clear" w:color="000000" w:fill="FFFFFF"/>
            <w:noWrap/>
            <w:vAlign w:val="bottom"/>
            <w:hideMark/>
          </w:tcPr>
          <w:p w14:paraId="64DDB134" w14:textId="77777777" w:rsidR="00506B94" w:rsidRPr="00846EEE" w:rsidRDefault="00506B94" w:rsidP="00506B94">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lang w:val="x-none"/>
              </w:rPr>
              <w:t xml:space="preserve">    (4,830)</w:t>
            </w:r>
          </w:p>
        </w:tc>
      </w:tr>
      <w:tr w:rsidR="00551D5A" w:rsidRPr="00551D5A" w14:paraId="60B7F093" w14:textId="77777777" w:rsidTr="00997EF7">
        <w:trPr>
          <w:trHeight w:val="199"/>
        </w:trPr>
        <w:tc>
          <w:tcPr>
            <w:tcW w:w="5103" w:type="dxa"/>
            <w:tcBorders>
              <w:top w:val="nil"/>
              <w:left w:val="nil"/>
              <w:bottom w:val="single" w:sz="4" w:space="0" w:color="auto"/>
              <w:right w:val="nil"/>
            </w:tcBorders>
            <w:shd w:val="clear" w:color="000000" w:fill="FFFFFF"/>
            <w:vAlign w:val="center"/>
            <w:hideMark/>
          </w:tcPr>
          <w:p w14:paraId="72273D4A" w14:textId="77777777" w:rsidR="00506B94" w:rsidRPr="00846EEE" w:rsidRDefault="00506B94" w:rsidP="00997EF7">
            <w:pPr>
              <w:spacing w:after="0" w:line="240" w:lineRule="auto"/>
              <w:ind w:hanging="105"/>
              <w:jc w:val="both"/>
              <w:rPr>
                <w:rFonts w:asciiTheme="minorHAnsi" w:hAnsiTheme="minorHAnsi" w:cstheme="minorHAnsi"/>
                <w:sz w:val="18"/>
                <w:szCs w:val="18"/>
              </w:rPr>
            </w:pPr>
            <w:r w:rsidRPr="00846EEE">
              <w:rPr>
                <w:rFonts w:asciiTheme="minorHAnsi" w:hAnsiTheme="minorHAnsi" w:cstheme="minorHAnsi"/>
                <w:sz w:val="18"/>
                <w:szCs w:val="18"/>
                <w:lang w:val="x-none"/>
              </w:rPr>
              <w:t>Interest paid</w:t>
            </w:r>
          </w:p>
        </w:tc>
        <w:tc>
          <w:tcPr>
            <w:tcW w:w="1559" w:type="dxa"/>
            <w:tcBorders>
              <w:top w:val="nil"/>
              <w:left w:val="nil"/>
              <w:bottom w:val="nil"/>
              <w:right w:val="nil"/>
            </w:tcBorders>
            <w:shd w:val="clear" w:color="000000" w:fill="FFFFFF"/>
            <w:vAlign w:val="center"/>
            <w:hideMark/>
          </w:tcPr>
          <w:p w14:paraId="66672675" w14:textId="0C30CECA" w:rsidR="00506B94" w:rsidRPr="00846EEE" w:rsidRDefault="001E4197" w:rsidP="00997EF7">
            <w:pPr>
              <w:spacing w:after="0" w:line="240" w:lineRule="auto"/>
              <w:jc w:val="right"/>
              <w:rPr>
                <w:rFonts w:asciiTheme="minorHAnsi" w:hAnsiTheme="minorHAnsi" w:cstheme="minorHAnsi"/>
                <w:sz w:val="18"/>
                <w:szCs w:val="18"/>
              </w:rPr>
            </w:pPr>
            <w:r>
              <w:rPr>
                <w:rFonts w:asciiTheme="minorHAnsi" w:hAnsiTheme="minorHAnsi" w:cstheme="minorHAnsi"/>
                <w:sz w:val="18"/>
                <w:szCs w:val="18"/>
              </w:rPr>
              <w:t>(649)</w:t>
            </w:r>
            <w:r w:rsidR="00506B94" w:rsidRPr="00846EEE">
              <w:rPr>
                <w:rFonts w:asciiTheme="minorHAnsi" w:hAnsiTheme="minorHAnsi" w:cstheme="minorHAnsi"/>
                <w:sz w:val="18"/>
                <w:szCs w:val="18"/>
              </w:rPr>
              <w:t> </w:t>
            </w:r>
          </w:p>
        </w:tc>
        <w:tc>
          <w:tcPr>
            <w:tcW w:w="1418" w:type="dxa"/>
            <w:tcBorders>
              <w:top w:val="nil"/>
              <w:left w:val="nil"/>
              <w:bottom w:val="nil"/>
              <w:right w:val="nil"/>
            </w:tcBorders>
            <w:shd w:val="clear" w:color="000000" w:fill="FFFFFF"/>
            <w:noWrap/>
            <w:vAlign w:val="bottom"/>
            <w:hideMark/>
          </w:tcPr>
          <w:p w14:paraId="1E3B49F9" w14:textId="77777777" w:rsidR="00506B94" w:rsidRPr="00846EEE" w:rsidRDefault="00506B94" w:rsidP="00506B94">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(420)</w:t>
            </w:r>
          </w:p>
        </w:tc>
        <w:tc>
          <w:tcPr>
            <w:tcW w:w="1418" w:type="dxa"/>
            <w:tcBorders>
              <w:top w:val="nil"/>
              <w:left w:val="nil"/>
              <w:bottom w:val="nil"/>
              <w:right w:val="nil"/>
            </w:tcBorders>
            <w:shd w:val="clear" w:color="000000" w:fill="FFFFFF"/>
            <w:noWrap/>
            <w:vAlign w:val="bottom"/>
            <w:hideMark/>
          </w:tcPr>
          <w:p w14:paraId="63918569" w14:textId="77777777" w:rsidR="00506B94" w:rsidRPr="00846EEE" w:rsidRDefault="00506B94" w:rsidP="00506B94">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(850)</w:t>
            </w:r>
          </w:p>
        </w:tc>
      </w:tr>
      <w:tr w:rsidR="00551D5A" w:rsidRPr="00551D5A" w14:paraId="23A75054" w14:textId="77777777" w:rsidTr="00997EF7">
        <w:trPr>
          <w:trHeight w:val="199"/>
        </w:trPr>
        <w:tc>
          <w:tcPr>
            <w:tcW w:w="5103" w:type="dxa"/>
            <w:tcBorders>
              <w:top w:val="nil"/>
              <w:left w:val="nil"/>
              <w:bottom w:val="single" w:sz="4" w:space="0" w:color="auto"/>
              <w:right w:val="nil"/>
            </w:tcBorders>
            <w:shd w:val="clear" w:color="000000" w:fill="FFFFFF"/>
            <w:vAlign w:val="center"/>
            <w:hideMark/>
          </w:tcPr>
          <w:p w14:paraId="0B9512AB" w14:textId="77777777" w:rsidR="00506B94" w:rsidRPr="00846EEE" w:rsidRDefault="00506B94" w:rsidP="00997EF7">
            <w:pPr>
              <w:spacing w:after="0" w:line="240" w:lineRule="auto"/>
              <w:ind w:hanging="105"/>
              <w:jc w:val="both"/>
              <w:rPr>
                <w:rFonts w:asciiTheme="minorHAnsi" w:hAnsiTheme="minorHAnsi" w:cstheme="minorHAnsi"/>
                <w:b/>
                <w:bCs/>
                <w:sz w:val="18"/>
                <w:szCs w:val="18"/>
              </w:rPr>
            </w:pPr>
            <w:r w:rsidRPr="00846EEE">
              <w:rPr>
                <w:rFonts w:asciiTheme="minorHAnsi" w:hAnsiTheme="minorHAnsi" w:cstheme="minorHAnsi"/>
                <w:b/>
                <w:bCs/>
                <w:sz w:val="18"/>
                <w:szCs w:val="18"/>
                <w:lang w:val="x-none"/>
              </w:rPr>
              <w:t>Net cash generated by finance activities</w:t>
            </w:r>
          </w:p>
        </w:tc>
        <w:tc>
          <w:tcPr>
            <w:tcW w:w="1559" w:type="dxa"/>
            <w:tcBorders>
              <w:top w:val="single" w:sz="4" w:space="0" w:color="auto"/>
              <w:left w:val="nil"/>
              <w:bottom w:val="single" w:sz="4" w:space="0" w:color="auto"/>
              <w:right w:val="nil"/>
            </w:tcBorders>
            <w:shd w:val="clear" w:color="000000" w:fill="FFFFFF"/>
            <w:vAlign w:val="center"/>
            <w:hideMark/>
          </w:tcPr>
          <w:p w14:paraId="70F9E6BC" w14:textId="2C759177" w:rsidR="00506B94" w:rsidRPr="00846EEE" w:rsidRDefault="001E4197" w:rsidP="00997EF7">
            <w:pPr>
              <w:spacing w:after="0" w:line="240" w:lineRule="auto"/>
              <w:jc w:val="right"/>
              <w:rPr>
                <w:rFonts w:asciiTheme="minorHAnsi" w:hAnsiTheme="minorHAnsi" w:cstheme="minorHAnsi"/>
                <w:b/>
                <w:bCs/>
                <w:sz w:val="18"/>
                <w:szCs w:val="18"/>
              </w:rPr>
            </w:pPr>
            <w:r>
              <w:rPr>
                <w:rFonts w:asciiTheme="minorHAnsi" w:hAnsiTheme="minorHAnsi" w:cstheme="minorHAnsi"/>
                <w:b/>
                <w:bCs/>
                <w:sz w:val="18"/>
                <w:szCs w:val="18"/>
              </w:rPr>
              <w:t>(11,703)</w:t>
            </w:r>
            <w:r w:rsidR="00506B94" w:rsidRPr="00846EEE">
              <w:rPr>
                <w:rFonts w:asciiTheme="minorHAnsi" w:hAnsiTheme="minorHAnsi" w:cstheme="minorHAnsi"/>
                <w:b/>
                <w:bCs/>
                <w:sz w:val="18"/>
                <w:szCs w:val="18"/>
              </w:rPr>
              <w:t> </w:t>
            </w:r>
          </w:p>
        </w:tc>
        <w:tc>
          <w:tcPr>
            <w:tcW w:w="1418" w:type="dxa"/>
            <w:tcBorders>
              <w:top w:val="single" w:sz="4" w:space="0" w:color="auto"/>
              <w:left w:val="nil"/>
              <w:bottom w:val="single" w:sz="4" w:space="0" w:color="auto"/>
              <w:right w:val="nil"/>
            </w:tcBorders>
            <w:shd w:val="clear" w:color="000000" w:fill="FFFFFF"/>
            <w:noWrap/>
            <w:vAlign w:val="bottom"/>
            <w:hideMark/>
          </w:tcPr>
          <w:p w14:paraId="3E15B87A" w14:textId="77777777" w:rsidR="00506B94" w:rsidRPr="00846EEE" w:rsidRDefault="00506B94" w:rsidP="00506B94">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7,732 </w:t>
            </w:r>
          </w:p>
        </w:tc>
        <w:tc>
          <w:tcPr>
            <w:tcW w:w="1418" w:type="dxa"/>
            <w:tcBorders>
              <w:top w:val="single" w:sz="4" w:space="0" w:color="auto"/>
              <w:left w:val="nil"/>
              <w:bottom w:val="single" w:sz="4" w:space="0" w:color="auto"/>
              <w:right w:val="nil"/>
            </w:tcBorders>
            <w:shd w:val="clear" w:color="000000" w:fill="FFFFFF"/>
            <w:noWrap/>
            <w:vAlign w:val="bottom"/>
            <w:hideMark/>
          </w:tcPr>
          <w:p w14:paraId="6252F5A9" w14:textId="77777777" w:rsidR="00506B94" w:rsidRPr="00846EEE" w:rsidRDefault="00506B94" w:rsidP="00506B94">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5,338 </w:t>
            </w:r>
          </w:p>
        </w:tc>
      </w:tr>
      <w:tr w:rsidR="00551D5A" w:rsidRPr="00551D5A" w14:paraId="7BA19CED" w14:textId="77777777" w:rsidTr="00997EF7">
        <w:trPr>
          <w:trHeight w:val="199"/>
        </w:trPr>
        <w:tc>
          <w:tcPr>
            <w:tcW w:w="5103" w:type="dxa"/>
            <w:tcBorders>
              <w:top w:val="nil"/>
              <w:left w:val="nil"/>
              <w:bottom w:val="nil"/>
              <w:right w:val="nil"/>
            </w:tcBorders>
            <w:shd w:val="clear" w:color="000000" w:fill="FFFFFF"/>
            <w:vAlign w:val="center"/>
            <w:hideMark/>
          </w:tcPr>
          <w:p w14:paraId="64C16AA0" w14:textId="208EA50C" w:rsidR="00506B94" w:rsidRPr="00846EEE" w:rsidRDefault="00506B94" w:rsidP="00997EF7">
            <w:pPr>
              <w:spacing w:after="0" w:line="240" w:lineRule="auto"/>
              <w:ind w:hanging="105"/>
              <w:jc w:val="both"/>
              <w:rPr>
                <w:rFonts w:asciiTheme="minorHAnsi" w:hAnsiTheme="minorHAnsi" w:cstheme="minorHAnsi"/>
                <w:b/>
                <w:bCs/>
                <w:sz w:val="18"/>
                <w:szCs w:val="18"/>
              </w:rPr>
            </w:pPr>
            <w:r w:rsidRPr="00846EEE">
              <w:rPr>
                <w:rFonts w:asciiTheme="minorHAnsi" w:hAnsiTheme="minorHAnsi" w:cstheme="minorHAnsi"/>
                <w:b/>
                <w:bCs/>
                <w:sz w:val="18"/>
                <w:szCs w:val="18"/>
                <w:lang w:val="x-none"/>
              </w:rPr>
              <w:t xml:space="preserve">Net </w:t>
            </w:r>
            <w:r w:rsidR="001E4197">
              <w:rPr>
                <w:rFonts w:asciiTheme="minorHAnsi" w:hAnsiTheme="minorHAnsi" w:cstheme="minorHAnsi"/>
                <w:b/>
                <w:bCs/>
                <w:sz w:val="18"/>
                <w:szCs w:val="18"/>
              </w:rPr>
              <w:t>(decrease)/</w:t>
            </w:r>
            <w:r w:rsidRPr="00846EEE">
              <w:rPr>
                <w:rFonts w:asciiTheme="minorHAnsi" w:hAnsiTheme="minorHAnsi" w:cstheme="minorHAnsi"/>
                <w:b/>
                <w:bCs/>
                <w:sz w:val="18"/>
                <w:szCs w:val="18"/>
                <w:lang w:val="x-none"/>
              </w:rPr>
              <w:t>increase in cash and cash equivalents</w:t>
            </w:r>
          </w:p>
        </w:tc>
        <w:tc>
          <w:tcPr>
            <w:tcW w:w="1559" w:type="dxa"/>
            <w:tcBorders>
              <w:top w:val="nil"/>
              <w:left w:val="nil"/>
              <w:bottom w:val="nil"/>
              <w:right w:val="nil"/>
            </w:tcBorders>
            <w:shd w:val="clear" w:color="000000" w:fill="FFFFFF"/>
            <w:vAlign w:val="center"/>
            <w:hideMark/>
          </w:tcPr>
          <w:p w14:paraId="6B245A3C" w14:textId="357AFF54" w:rsidR="00506B94" w:rsidRPr="00846EEE" w:rsidRDefault="001E4197" w:rsidP="00997EF7">
            <w:pPr>
              <w:spacing w:after="0" w:line="240" w:lineRule="auto"/>
              <w:jc w:val="right"/>
              <w:rPr>
                <w:rFonts w:asciiTheme="minorHAnsi" w:hAnsiTheme="minorHAnsi" w:cstheme="minorHAnsi"/>
                <w:b/>
                <w:bCs/>
                <w:sz w:val="18"/>
                <w:szCs w:val="18"/>
              </w:rPr>
            </w:pPr>
            <w:r>
              <w:rPr>
                <w:rFonts w:asciiTheme="minorHAnsi" w:hAnsiTheme="minorHAnsi" w:cstheme="minorHAnsi"/>
                <w:b/>
                <w:bCs/>
                <w:sz w:val="18"/>
                <w:szCs w:val="18"/>
              </w:rPr>
              <w:t>(1,198)</w:t>
            </w:r>
            <w:r w:rsidR="00506B94" w:rsidRPr="00846EEE">
              <w:rPr>
                <w:rFonts w:asciiTheme="minorHAnsi" w:hAnsiTheme="minorHAnsi" w:cstheme="minorHAnsi"/>
                <w:b/>
                <w:bCs/>
                <w:sz w:val="18"/>
                <w:szCs w:val="18"/>
              </w:rPr>
              <w:t> </w:t>
            </w:r>
          </w:p>
        </w:tc>
        <w:tc>
          <w:tcPr>
            <w:tcW w:w="1418" w:type="dxa"/>
            <w:tcBorders>
              <w:top w:val="nil"/>
              <w:left w:val="nil"/>
              <w:bottom w:val="nil"/>
              <w:right w:val="nil"/>
            </w:tcBorders>
            <w:shd w:val="clear" w:color="000000" w:fill="FFFFFF"/>
            <w:noWrap/>
            <w:vAlign w:val="bottom"/>
            <w:hideMark/>
          </w:tcPr>
          <w:p w14:paraId="6CA68F07" w14:textId="77777777" w:rsidR="00506B94" w:rsidRPr="00846EEE" w:rsidRDefault="00506B94" w:rsidP="00506B94">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123 </w:t>
            </w:r>
          </w:p>
        </w:tc>
        <w:tc>
          <w:tcPr>
            <w:tcW w:w="1418" w:type="dxa"/>
            <w:tcBorders>
              <w:top w:val="nil"/>
              <w:left w:val="nil"/>
              <w:bottom w:val="nil"/>
              <w:right w:val="nil"/>
            </w:tcBorders>
            <w:shd w:val="clear" w:color="000000" w:fill="FFFFFF"/>
            <w:noWrap/>
            <w:vAlign w:val="bottom"/>
            <w:hideMark/>
          </w:tcPr>
          <w:p w14:paraId="4CC9FAA6" w14:textId="77777777" w:rsidR="00506B94" w:rsidRPr="00846EEE" w:rsidRDefault="00506B94" w:rsidP="00506B94">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6,065 </w:t>
            </w:r>
          </w:p>
        </w:tc>
      </w:tr>
      <w:tr w:rsidR="00551D5A" w:rsidRPr="00551D5A" w14:paraId="7E8462DF" w14:textId="77777777" w:rsidTr="00997EF7">
        <w:trPr>
          <w:trHeight w:val="199"/>
        </w:trPr>
        <w:tc>
          <w:tcPr>
            <w:tcW w:w="5103" w:type="dxa"/>
            <w:tcBorders>
              <w:top w:val="nil"/>
              <w:left w:val="nil"/>
              <w:bottom w:val="nil"/>
              <w:right w:val="nil"/>
            </w:tcBorders>
            <w:shd w:val="clear" w:color="000000" w:fill="FFFFFF"/>
            <w:vAlign w:val="center"/>
            <w:hideMark/>
          </w:tcPr>
          <w:p w14:paraId="020E1C26" w14:textId="77777777" w:rsidR="00506B94" w:rsidRPr="00846EEE" w:rsidRDefault="00506B94" w:rsidP="00997EF7">
            <w:pPr>
              <w:spacing w:after="0" w:line="240" w:lineRule="auto"/>
              <w:ind w:hanging="105"/>
              <w:jc w:val="both"/>
              <w:rPr>
                <w:rFonts w:asciiTheme="minorHAnsi" w:hAnsiTheme="minorHAnsi" w:cstheme="minorHAnsi"/>
                <w:sz w:val="18"/>
                <w:szCs w:val="18"/>
              </w:rPr>
            </w:pPr>
            <w:r w:rsidRPr="00846EEE">
              <w:rPr>
                <w:rFonts w:asciiTheme="minorHAnsi" w:hAnsiTheme="minorHAnsi" w:cstheme="minorHAnsi"/>
                <w:sz w:val="18"/>
                <w:szCs w:val="18"/>
              </w:rPr>
              <w:t>Exchange gains on cash and cash equivalents</w:t>
            </w:r>
          </w:p>
        </w:tc>
        <w:tc>
          <w:tcPr>
            <w:tcW w:w="1559" w:type="dxa"/>
            <w:tcBorders>
              <w:top w:val="nil"/>
              <w:left w:val="nil"/>
              <w:bottom w:val="nil"/>
              <w:right w:val="nil"/>
            </w:tcBorders>
            <w:shd w:val="clear" w:color="000000" w:fill="FFFFFF"/>
            <w:vAlign w:val="center"/>
            <w:hideMark/>
          </w:tcPr>
          <w:p w14:paraId="725A8E95" w14:textId="10B2624A" w:rsidR="00506B94" w:rsidRPr="00846EEE" w:rsidRDefault="001E4197" w:rsidP="00997EF7">
            <w:pPr>
              <w:spacing w:after="0" w:line="240" w:lineRule="auto"/>
              <w:jc w:val="right"/>
              <w:rPr>
                <w:rFonts w:asciiTheme="minorHAnsi" w:hAnsiTheme="minorHAnsi" w:cstheme="minorHAnsi"/>
                <w:sz w:val="18"/>
                <w:szCs w:val="18"/>
              </w:rPr>
            </w:pPr>
            <w:r>
              <w:rPr>
                <w:rFonts w:asciiTheme="minorHAnsi" w:hAnsiTheme="minorHAnsi" w:cstheme="minorHAnsi"/>
                <w:sz w:val="18"/>
                <w:szCs w:val="18"/>
              </w:rPr>
              <w:t>-</w:t>
            </w:r>
            <w:r w:rsidR="00506B94" w:rsidRPr="00846EEE">
              <w:rPr>
                <w:rFonts w:asciiTheme="minorHAnsi" w:hAnsiTheme="minorHAnsi" w:cstheme="minorHAnsi"/>
                <w:sz w:val="18"/>
                <w:szCs w:val="18"/>
              </w:rPr>
              <w:t> </w:t>
            </w:r>
          </w:p>
        </w:tc>
        <w:tc>
          <w:tcPr>
            <w:tcW w:w="1418" w:type="dxa"/>
            <w:tcBorders>
              <w:top w:val="nil"/>
              <w:left w:val="nil"/>
              <w:bottom w:val="nil"/>
              <w:right w:val="nil"/>
            </w:tcBorders>
            <w:shd w:val="clear" w:color="000000" w:fill="FFFFFF"/>
            <w:noWrap/>
            <w:vAlign w:val="bottom"/>
            <w:hideMark/>
          </w:tcPr>
          <w:p w14:paraId="171CCD7D" w14:textId="77777777" w:rsidR="00506B94" w:rsidRPr="00846EEE" w:rsidRDefault="00506B94" w:rsidP="00506B94">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1</w:t>
            </w:r>
          </w:p>
        </w:tc>
        <w:tc>
          <w:tcPr>
            <w:tcW w:w="1418" w:type="dxa"/>
            <w:tcBorders>
              <w:top w:val="nil"/>
              <w:left w:val="nil"/>
              <w:bottom w:val="nil"/>
              <w:right w:val="nil"/>
            </w:tcBorders>
            <w:shd w:val="clear" w:color="000000" w:fill="FFFFFF"/>
            <w:noWrap/>
            <w:vAlign w:val="bottom"/>
            <w:hideMark/>
          </w:tcPr>
          <w:p w14:paraId="4703F96B" w14:textId="77777777" w:rsidR="00506B94" w:rsidRPr="00846EEE" w:rsidRDefault="00506B94" w:rsidP="00506B94">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lang w:val="en-US"/>
              </w:rPr>
              <w:t xml:space="preserve">            4 </w:t>
            </w:r>
          </w:p>
        </w:tc>
      </w:tr>
      <w:tr w:rsidR="00551D5A" w:rsidRPr="00551D5A" w14:paraId="28D011D6" w14:textId="77777777" w:rsidTr="00997EF7">
        <w:trPr>
          <w:trHeight w:val="199"/>
        </w:trPr>
        <w:tc>
          <w:tcPr>
            <w:tcW w:w="5103" w:type="dxa"/>
            <w:tcBorders>
              <w:top w:val="nil"/>
              <w:left w:val="nil"/>
              <w:bottom w:val="single" w:sz="4" w:space="0" w:color="auto"/>
              <w:right w:val="nil"/>
            </w:tcBorders>
            <w:shd w:val="clear" w:color="000000" w:fill="FFFFFF"/>
            <w:vAlign w:val="center"/>
            <w:hideMark/>
          </w:tcPr>
          <w:p w14:paraId="37D1FF85" w14:textId="77777777" w:rsidR="00506B94" w:rsidRPr="00846EEE" w:rsidRDefault="00506B94" w:rsidP="00997EF7">
            <w:pPr>
              <w:spacing w:after="0" w:line="240" w:lineRule="auto"/>
              <w:ind w:hanging="105"/>
              <w:jc w:val="both"/>
              <w:rPr>
                <w:rFonts w:asciiTheme="minorHAnsi" w:hAnsiTheme="minorHAnsi" w:cstheme="minorHAnsi"/>
                <w:b/>
                <w:bCs/>
                <w:sz w:val="18"/>
                <w:szCs w:val="18"/>
              </w:rPr>
            </w:pPr>
            <w:r w:rsidRPr="00846EEE">
              <w:rPr>
                <w:rFonts w:asciiTheme="minorHAnsi" w:hAnsiTheme="minorHAnsi" w:cstheme="minorHAnsi"/>
                <w:b/>
                <w:bCs/>
                <w:sz w:val="18"/>
                <w:szCs w:val="18"/>
                <w:lang w:val="x-none"/>
              </w:rPr>
              <w:t>Cash and cash equivalents brought forward</w:t>
            </w:r>
          </w:p>
        </w:tc>
        <w:tc>
          <w:tcPr>
            <w:tcW w:w="1559" w:type="dxa"/>
            <w:tcBorders>
              <w:top w:val="nil"/>
              <w:left w:val="nil"/>
              <w:bottom w:val="nil"/>
              <w:right w:val="nil"/>
            </w:tcBorders>
            <w:shd w:val="clear" w:color="000000" w:fill="FFFFFF"/>
            <w:vAlign w:val="center"/>
            <w:hideMark/>
          </w:tcPr>
          <w:p w14:paraId="0E446A8F" w14:textId="071C4696" w:rsidR="00506B94" w:rsidRPr="00846EEE" w:rsidRDefault="001E4197" w:rsidP="00997EF7">
            <w:pPr>
              <w:spacing w:after="0" w:line="240" w:lineRule="auto"/>
              <w:jc w:val="right"/>
              <w:rPr>
                <w:rFonts w:asciiTheme="minorHAnsi" w:hAnsiTheme="minorHAnsi" w:cstheme="minorHAnsi"/>
                <w:b/>
                <w:bCs/>
                <w:sz w:val="18"/>
                <w:szCs w:val="18"/>
              </w:rPr>
            </w:pPr>
            <w:r>
              <w:rPr>
                <w:rFonts w:asciiTheme="minorHAnsi" w:hAnsiTheme="minorHAnsi" w:cstheme="minorHAnsi"/>
                <w:b/>
                <w:bCs/>
                <w:sz w:val="18"/>
                <w:szCs w:val="18"/>
              </w:rPr>
              <w:t>6,202</w:t>
            </w:r>
            <w:r w:rsidR="00506B94" w:rsidRPr="00846EEE">
              <w:rPr>
                <w:rFonts w:asciiTheme="minorHAnsi" w:hAnsiTheme="minorHAnsi" w:cstheme="minorHAnsi"/>
                <w:b/>
                <w:bCs/>
                <w:sz w:val="18"/>
                <w:szCs w:val="18"/>
              </w:rPr>
              <w:t> </w:t>
            </w:r>
          </w:p>
        </w:tc>
        <w:tc>
          <w:tcPr>
            <w:tcW w:w="1418" w:type="dxa"/>
            <w:tcBorders>
              <w:top w:val="nil"/>
              <w:left w:val="nil"/>
              <w:bottom w:val="nil"/>
              <w:right w:val="nil"/>
            </w:tcBorders>
            <w:shd w:val="clear" w:color="000000" w:fill="FFFFFF"/>
            <w:noWrap/>
            <w:vAlign w:val="bottom"/>
            <w:hideMark/>
          </w:tcPr>
          <w:p w14:paraId="71B8B03C" w14:textId="77777777" w:rsidR="00506B94" w:rsidRPr="00846EEE" w:rsidRDefault="00506B94" w:rsidP="00506B94">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133 </w:t>
            </w:r>
          </w:p>
        </w:tc>
        <w:tc>
          <w:tcPr>
            <w:tcW w:w="1418" w:type="dxa"/>
            <w:tcBorders>
              <w:top w:val="nil"/>
              <w:left w:val="nil"/>
              <w:bottom w:val="nil"/>
              <w:right w:val="nil"/>
            </w:tcBorders>
            <w:shd w:val="clear" w:color="000000" w:fill="FFFFFF"/>
            <w:noWrap/>
            <w:vAlign w:val="bottom"/>
            <w:hideMark/>
          </w:tcPr>
          <w:p w14:paraId="554DE827" w14:textId="77777777" w:rsidR="00506B94" w:rsidRPr="00846EEE" w:rsidRDefault="00506B94" w:rsidP="00506B94">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lang w:val="en-US"/>
              </w:rPr>
              <w:t xml:space="preserve">        133 </w:t>
            </w:r>
          </w:p>
        </w:tc>
      </w:tr>
      <w:tr w:rsidR="00551D5A" w:rsidRPr="00551D5A" w14:paraId="3FE8BCD9" w14:textId="77777777" w:rsidTr="00997EF7">
        <w:trPr>
          <w:trHeight w:val="199"/>
        </w:trPr>
        <w:tc>
          <w:tcPr>
            <w:tcW w:w="5103" w:type="dxa"/>
            <w:tcBorders>
              <w:top w:val="nil"/>
              <w:left w:val="nil"/>
              <w:bottom w:val="single" w:sz="4" w:space="0" w:color="auto"/>
              <w:right w:val="nil"/>
            </w:tcBorders>
            <w:shd w:val="clear" w:color="000000" w:fill="FFFFFF"/>
            <w:vAlign w:val="center"/>
            <w:hideMark/>
          </w:tcPr>
          <w:p w14:paraId="51490746" w14:textId="77777777" w:rsidR="00506B94" w:rsidRPr="00846EEE" w:rsidRDefault="00506B94" w:rsidP="00997EF7">
            <w:pPr>
              <w:spacing w:after="0" w:line="240" w:lineRule="auto"/>
              <w:ind w:hanging="105"/>
              <w:jc w:val="both"/>
              <w:rPr>
                <w:rFonts w:asciiTheme="minorHAnsi" w:hAnsiTheme="minorHAnsi" w:cstheme="minorHAnsi"/>
                <w:b/>
                <w:bCs/>
                <w:sz w:val="18"/>
                <w:szCs w:val="18"/>
              </w:rPr>
            </w:pPr>
            <w:r w:rsidRPr="00846EEE">
              <w:rPr>
                <w:rFonts w:asciiTheme="minorHAnsi" w:hAnsiTheme="minorHAnsi" w:cstheme="minorHAnsi"/>
                <w:b/>
                <w:bCs/>
                <w:sz w:val="18"/>
                <w:szCs w:val="18"/>
                <w:lang w:val="x-none"/>
              </w:rPr>
              <w:t>Cash and cash equivalents carried forward</w:t>
            </w:r>
          </w:p>
        </w:tc>
        <w:tc>
          <w:tcPr>
            <w:tcW w:w="1559" w:type="dxa"/>
            <w:tcBorders>
              <w:top w:val="single" w:sz="4" w:space="0" w:color="auto"/>
              <w:left w:val="nil"/>
              <w:bottom w:val="single" w:sz="4" w:space="0" w:color="auto"/>
              <w:right w:val="nil"/>
            </w:tcBorders>
            <w:shd w:val="clear" w:color="000000" w:fill="FFFFFF"/>
            <w:vAlign w:val="center"/>
            <w:hideMark/>
          </w:tcPr>
          <w:p w14:paraId="79A8DBAC" w14:textId="69CDA04A" w:rsidR="00506B94" w:rsidRPr="00846EEE" w:rsidRDefault="001E4197" w:rsidP="00997EF7">
            <w:pPr>
              <w:spacing w:after="0" w:line="240" w:lineRule="auto"/>
              <w:jc w:val="right"/>
              <w:rPr>
                <w:rFonts w:asciiTheme="minorHAnsi" w:hAnsiTheme="minorHAnsi" w:cstheme="minorHAnsi"/>
                <w:b/>
                <w:bCs/>
                <w:sz w:val="18"/>
                <w:szCs w:val="18"/>
              </w:rPr>
            </w:pPr>
            <w:r>
              <w:rPr>
                <w:rFonts w:asciiTheme="minorHAnsi" w:hAnsiTheme="minorHAnsi" w:cstheme="minorHAnsi"/>
                <w:b/>
                <w:bCs/>
                <w:sz w:val="18"/>
                <w:szCs w:val="18"/>
              </w:rPr>
              <w:t>5,004</w:t>
            </w:r>
            <w:r w:rsidR="00506B94" w:rsidRPr="00846EEE">
              <w:rPr>
                <w:rFonts w:asciiTheme="minorHAnsi" w:hAnsiTheme="minorHAnsi" w:cstheme="minorHAnsi"/>
                <w:b/>
                <w:bCs/>
                <w:sz w:val="18"/>
                <w:szCs w:val="18"/>
              </w:rPr>
              <w:t> </w:t>
            </w:r>
          </w:p>
        </w:tc>
        <w:tc>
          <w:tcPr>
            <w:tcW w:w="1418" w:type="dxa"/>
            <w:tcBorders>
              <w:top w:val="single" w:sz="4" w:space="0" w:color="auto"/>
              <w:left w:val="nil"/>
              <w:bottom w:val="single" w:sz="4" w:space="0" w:color="auto"/>
              <w:right w:val="nil"/>
            </w:tcBorders>
            <w:shd w:val="clear" w:color="000000" w:fill="FFFFFF"/>
            <w:noWrap/>
            <w:vAlign w:val="bottom"/>
            <w:hideMark/>
          </w:tcPr>
          <w:p w14:paraId="5E004E1E" w14:textId="77777777" w:rsidR="00506B94" w:rsidRPr="00846EEE" w:rsidRDefault="00506B94" w:rsidP="00506B94">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257 </w:t>
            </w:r>
          </w:p>
        </w:tc>
        <w:tc>
          <w:tcPr>
            <w:tcW w:w="1418" w:type="dxa"/>
            <w:tcBorders>
              <w:top w:val="single" w:sz="4" w:space="0" w:color="auto"/>
              <w:left w:val="nil"/>
              <w:bottom w:val="single" w:sz="4" w:space="0" w:color="auto"/>
              <w:right w:val="nil"/>
            </w:tcBorders>
            <w:shd w:val="clear" w:color="000000" w:fill="FFFFFF"/>
            <w:noWrap/>
            <w:vAlign w:val="bottom"/>
            <w:hideMark/>
          </w:tcPr>
          <w:p w14:paraId="4CC1BFD2" w14:textId="77777777" w:rsidR="00506B94" w:rsidRPr="00846EEE" w:rsidRDefault="00506B94" w:rsidP="00506B94">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lang w:val="en-US"/>
              </w:rPr>
              <w:t xml:space="preserve">     6,202 </w:t>
            </w:r>
          </w:p>
        </w:tc>
      </w:tr>
    </w:tbl>
    <w:p w14:paraId="4D33E622" w14:textId="77777777" w:rsidR="00506B94" w:rsidRPr="00846EEE" w:rsidRDefault="00506B94">
      <w:pPr>
        <w:rPr>
          <w:rFonts w:asciiTheme="minorHAnsi" w:hAnsiTheme="minorHAnsi" w:cstheme="minorHAnsi"/>
          <w:sz w:val="18"/>
          <w:szCs w:val="18"/>
        </w:rPr>
      </w:pPr>
    </w:p>
    <w:p w14:paraId="6CFBBC7A" w14:textId="77777777" w:rsidR="00506B94" w:rsidRPr="00846EEE" w:rsidRDefault="00506B94">
      <w:pPr>
        <w:rPr>
          <w:rFonts w:asciiTheme="minorHAnsi" w:hAnsiTheme="minorHAnsi" w:cstheme="minorHAnsi"/>
          <w:sz w:val="18"/>
          <w:szCs w:val="18"/>
        </w:rPr>
      </w:pPr>
      <w:r w:rsidRPr="00846EEE">
        <w:rPr>
          <w:rFonts w:asciiTheme="minorHAnsi" w:hAnsiTheme="minorHAnsi" w:cstheme="minorHAnsi"/>
          <w:sz w:val="18"/>
          <w:szCs w:val="18"/>
        </w:rPr>
        <w:br w:type="page"/>
      </w:r>
    </w:p>
    <w:tbl>
      <w:tblPr>
        <w:tblW w:w="11593" w:type="dxa"/>
        <w:tblInd w:w="-1026" w:type="dxa"/>
        <w:tblLayout w:type="fixed"/>
        <w:tblLook w:val="0000" w:firstRow="0" w:lastRow="0" w:firstColumn="0" w:lastColumn="0" w:noHBand="0" w:noVBand="0"/>
      </w:tblPr>
      <w:tblGrid>
        <w:gridCol w:w="11593"/>
      </w:tblGrid>
      <w:tr w:rsidR="00402908" w:rsidRPr="00551D5A" w14:paraId="2AE91C49" w14:textId="77777777" w:rsidTr="00FE67DF">
        <w:trPr>
          <w:trHeight w:val="95"/>
        </w:trPr>
        <w:tc>
          <w:tcPr>
            <w:tcW w:w="11593" w:type="dxa"/>
          </w:tcPr>
          <w:p w14:paraId="441166BD" w14:textId="7508C85E" w:rsidR="007A34B1" w:rsidRPr="00846EEE" w:rsidRDefault="007A34B1">
            <w:pPr>
              <w:rPr>
                <w:rFonts w:asciiTheme="minorHAnsi" w:hAnsiTheme="minorHAnsi" w:cstheme="minorHAnsi"/>
                <w:sz w:val="18"/>
                <w:szCs w:val="18"/>
              </w:rPr>
            </w:pPr>
          </w:p>
          <w:tbl>
            <w:tblPr>
              <w:tblW w:w="4241" w:type="pct"/>
              <w:tblInd w:w="907" w:type="dxa"/>
              <w:tblBorders>
                <w:top w:val="single" w:sz="8" w:space="0" w:color="4F81BD"/>
                <w:bottom w:val="single" w:sz="8" w:space="0" w:color="4F81BD"/>
              </w:tblBorders>
              <w:tblLayout w:type="fixed"/>
              <w:tblLook w:val="0660" w:firstRow="1" w:lastRow="1" w:firstColumn="0" w:lastColumn="0" w:noHBand="1" w:noVBand="1"/>
            </w:tblPr>
            <w:tblGrid>
              <w:gridCol w:w="9650"/>
            </w:tblGrid>
            <w:tr w:rsidR="009B0515" w:rsidRPr="00551D5A" w14:paraId="2A8D8A57" w14:textId="77777777" w:rsidTr="00DB6012">
              <w:trPr>
                <w:trHeight w:val="80"/>
              </w:trPr>
              <w:tc>
                <w:tcPr>
                  <w:tcW w:w="9650" w:type="dxa"/>
                  <w:tcBorders>
                    <w:top w:val="nil"/>
                    <w:left w:val="nil"/>
                    <w:bottom w:val="nil"/>
                    <w:right w:val="nil"/>
                  </w:tcBorders>
                  <w:shd w:val="clear" w:color="auto" w:fill="auto"/>
                </w:tcPr>
                <w:p w14:paraId="3F56FC89" w14:textId="18E7BF53" w:rsidR="00014EF0" w:rsidRPr="00846EEE" w:rsidRDefault="00014EF0" w:rsidP="0047121F">
                  <w:pPr>
                    <w:widowControl w:val="0"/>
                    <w:tabs>
                      <w:tab w:val="left" w:pos="464"/>
                    </w:tabs>
                    <w:autoSpaceDE w:val="0"/>
                    <w:autoSpaceDN w:val="0"/>
                    <w:adjustRightInd w:val="0"/>
                    <w:spacing w:after="0" w:line="240" w:lineRule="auto"/>
                    <w:jc w:val="both"/>
                    <w:rPr>
                      <w:rFonts w:asciiTheme="minorHAnsi" w:hAnsiTheme="minorHAnsi" w:cstheme="minorHAnsi"/>
                      <w:b/>
                      <w:color w:val="000000"/>
                      <w:sz w:val="18"/>
                      <w:szCs w:val="18"/>
                      <w:lang w:val="en-US" w:bidi="en-US"/>
                    </w:rPr>
                  </w:pPr>
                  <w:r w:rsidRPr="00846EEE">
                    <w:rPr>
                      <w:rFonts w:asciiTheme="minorHAnsi" w:hAnsiTheme="minorHAnsi" w:cstheme="minorHAnsi"/>
                      <w:b/>
                      <w:color w:val="000000"/>
                      <w:sz w:val="18"/>
                      <w:szCs w:val="18"/>
                      <w:lang w:val="en-US" w:bidi="en-US"/>
                    </w:rPr>
                    <w:t>Notes to t</w:t>
                  </w:r>
                  <w:r w:rsidR="007A34B1" w:rsidRPr="00846EEE">
                    <w:rPr>
                      <w:rFonts w:asciiTheme="minorHAnsi" w:hAnsiTheme="minorHAnsi" w:cstheme="minorHAnsi"/>
                      <w:b/>
                      <w:color w:val="000000"/>
                      <w:sz w:val="18"/>
                      <w:szCs w:val="18"/>
                      <w:lang w:val="en-US" w:bidi="en-US"/>
                    </w:rPr>
                    <w:t>h</w:t>
                  </w:r>
                  <w:r w:rsidRPr="00846EEE">
                    <w:rPr>
                      <w:rFonts w:asciiTheme="minorHAnsi" w:hAnsiTheme="minorHAnsi" w:cstheme="minorHAnsi"/>
                      <w:b/>
                      <w:color w:val="000000"/>
                      <w:sz w:val="18"/>
                      <w:szCs w:val="18"/>
                      <w:lang w:val="en-US" w:bidi="en-US"/>
                    </w:rPr>
                    <w:t xml:space="preserve">e </w:t>
                  </w:r>
                  <w:r w:rsidR="00687518" w:rsidRPr="00846EEE">
                    <w:rPr>
                      <w:rFonts w:asciiTheme="minorHAnsi" w:hAnsiTheme="minorHAnsi" w:cstheme="minorHAnsi"/>
                      <w:b/>
                      <w:color w:val="000000"/>
                      <w:sz w:val="18"/>
                      <w:szCs w:val="18"/>
                      <w:lang w:val="en-US" w:bidi="en-US"/>
                    </w:rPr>
                    <w:t>Interim Results</w:t>
                  </w:r>
                </w:p>
                <w:p w14:paraId="0722F8C7" w14:textId="77777777" w:rsidR="00014EF0" w:rsidRPr="00846EEE" w:rsidRDefault="00014EF0" w:rsidP="0047121F">
                  <w:pPr>
                    <w:pStyle w:val="ListParagraph"/>
                    <w:widowControl w:val="0"/>
                    <w:tabs>
                      <w:tab w:val="left" w:pos="464"/>
                    </w:tabs>
                    <w:autoSpaceDE w:val="0"/>
                    <w:autoSpaceDN w:val="0"/>
                    <w:adjustRightInd w:val="0"/>
                    <w:spacing w:after="0" w:line="240" w:lineRule="auto"/>
                    <w:ind w:left="352"/>
                    <w:jc w:val="both"/>
                    <w:rPr>
                      <w:rFonts w:asciiTheme="minorHAnsi" w:hAnsiTheme="minorHAnsi" w:cstheme="minorHAnsi"/>
                      <w:color w:val="000000"/>
                      <w:sz w:val="18"/>
                      <w:szCs w:val="18"/>
                      <w:lang w:val="en-US" w:bidi="en-US"/>
                    </w:rPr>
                  </w:pPr>
                </w:p>
                <w:p w14:paraId="3C0CEA11" w14:textId="0DA394DE" w:rsidR="00007A5A" w:rsidRPr="00846EEE" w:rsidRDefault="00007A5A" w:rsidP="00846EEE">
                  <w:pPr>
                    <w:pStyle w:val="ListParagraph"/>
                    <w:widowControl w:val="0"/>
                    <w:numPr>
                      <w:ilvl w:val="0"/>
                      <w:numId w:val="1"/>
                    </w:numPr>
                    <w:tabs>
                      <w:tab w:val="left" w:pos="464"/>
                    </w:tabs>
                    <w:autoSpaceDE w:val="0"/>
                    <w:autoSpaceDN w:val="0"/>
                    <w:adjustRightInd w:val="0"/>
                    <w:spacing w:after="0" w:line="240" w:lineRule="auto"/>
                    <w:ind w:left="352" w:hanging="352"/>
                    <w:jc w:val="both"/>
                    <w:rPr>
                      <w:rFonts w:asciiTheme="minorHAnsi" w:hAnsiTheme="minorHAnsi" w:cstheme="minorHAnsi"/>
                      <w:color w:val="000000"/>
                      <w:sz w:val="18"/>
                      <w:szCs w:val="18"/>
                      <w:lang w:val="en-US" w:bidi="en-US"/>
                    </w:rPr>
                  </w:pPr>
                  <w:r w:rsidRPr="00846EEE">
                    <w:rPr>
                      <w:rFonts w:asciiTheme="minorHAnsi" w:hAnsiTheme="minorHAnsi" w:cstheme="minorHAnsi"/>
                      <w:b/>
                      <w:bCs/>
                      <w:color w:val="000000"/>
                      <w:sz w:val="18"/>
                      <w:szCs w:val="18"/>
                      <w:lang w:val="en-US" w:bidi="en-US"/>
                    </w:rPr>
                    <w:t xml:space="preserve">General </w:t>
                  </w:r>
                  <w:bookmarkStart w:id="13" w:name="DBG1675"/>
                  <w:bookmarkStart w:id="14" w:name="DBG1676"/>
                  <w:bookmarkEnd w:id="13"/>
                  <w:bookmarkEnd w:id="14"/>
                  <w:r w:rsidR="0044337B" w:rsidRPr="00846EEE">
                    <w:rPr>
                      <w:rFonts w:asciiTheme="minorHAnsi" w:hAnsiTheme="minorHAnsi" w:cstheme="minorHAnsi"/>
                      <w:b/>
                      <w:bCs/>
                      <w:color w:val="000000"/>
                      <w:sz w:val="18"/>
                      <w:szCs w:val="18"/>
                      <w:lang w:val="en-US" w:bidi="en-US"/>
                    </w:rPr>
                    <w:t>Information</w:t>
                  </w:r>
                </w:p>
                <w:p w14:paraId="5EBD6F7C" w14:textId="50E32B45" w:rsidR="008E7710" w:rsidRPr="00846EEE" w:rsidRDefault="008E7710" w:rsidP="0047121F">
                  <w:pPr>
                    <w:pStyle w:val="xy"/>
                    <w:spacing w:before="0" w:beforeAutospacing="0" w:after="0" w:afterAutospacing="0"/>
                    <w:jc w:val="both"/>
                    <w:rPr>
                      <w:rFonts w:asciiTheme="minorHAnsi" w:hAnsiTheme="minorHAnsi" w:cstheme="minorHAnsi"/>
                      <w:bCs/>
                      <w:color w:val="000000"/>
                      <w:sz w:val="18"/>
                      <w:szCs w:val="18"/>
                      <w:lang w:val="en-US" w:bidi="en-US"/>
                    </w:rPr>
                  </w:pPr>
                  <w:r w:rsidRPr="00846EEE">
                    <w:rPr>
                      <w:rFonts w:asciiTheme="minorHAnsi" w:hAnsiTheme="minorHAnsi" w:cstheme="minorHAnsi"/>
                      <w:bCs/>
                      <w:color w:val="000000"/>
                      <w:sz w:val="18"/>
                      <w:szCs w:val="18"/>
                      <w:lang w:val="en-US" w:bidi="en-US"/>
                    </w:rPr>
                    <w:t xml:space="preserve">UP Global Sourcing Holdings </w:t>
                  </w:r>
                  <w:r w:rsidR="00E53993" w:rsidRPr="00846EEE">
                    <w:rPr>
                      <w:rFonts w:asciiTheme="minorHAnsi" w:hAnsiTheme="minorHAnsi" w:cstheme="minorHAnsi"/>
                      <w:bCs/>
                      <w:color w:val="000000"/>
                      <w:sz w:val="18"/>
                      <w:szCs w:val="18"/>
                      <w:lang w:val="en-US" w:bidi="en-US"/>
                    </w:rPr>
                    <w:t>plc</w:t>
                  </w:r>
                  <w:r w:rsidRPr="00846EEE">
                    <w:rPr>
                      <w:rFonts w:asciiTheme="minorHAnsi" w:hAnsiTheme="minorHAnsi" w:cstheme="minorHAnsi"/>
                      <w:bCs/>
                      <w:color w:val="000000"/>
                      <w:sz w:val="18"/>
                      <w:szCs w:val="18"/>
                      <w:lang w:val="en-US" w:bidi="en-US"/>
                    </w:rPr>
                    <w:t xml:space="preserve"> </w:t>
                  </w:r>
                  <w:r w:rsidR="0044337B" w:rsidRPr="00846EEE">
                    <w:rPr>
                      <w:rFonts w:asciiTheme="minorHAnsi" w:hAnsiTheme="minorHAnsi" w:cstheme="minorHAnsi"/>
                      <w:bCs/>
                      <w:color w:val="000000"/>
                      <w:sz w:val="18"/>
                      <w:szCs w:val="18"/>
                      <w:lang w:val="en-US" w:bidi="en-US"/>
                    </w:rPr>
                    <w:t>(‘</w:t>
                  </w:r>
                  <w:r w:rsidRPr="00846EEE">
                    <w:rPr>
                      <w:rFonts w:asciiTheme="minorHAnsi" w:hAnsiTheme="minorHAnsi" w:cstheme="minorHAnsi"/>
                      <w:bCs/>
                      <w:color w:val="000000"/>
                      <w:sz w:val="18"/>
                      <w:szCs w:val="18"/>
                      <w:lang w:val="en-US" w:bidi="en-US"/>
                    </w:rPr>
                    <w:t>the Company</w:t>
                  </w:r>
                  <w:r w:rsidR="0044337B" w:rsidRPr="00846EEE">
                    <w:rPr>
                      <w:rFonts w:asciiTheme="minorHAnsi" w:hAnsiTheme="minorHAnsi" w:cstheme="minorHAnsi"/>
                      <w:bCs/>
                      <w:color w:val="000000"/>
                      <w:sz w:val="18"/>
                      <w:szCs w:val="18"/>
                      <w:lang w:val="en-US" w:bidi="en-US"/>
                    </w:rPr>
                    <w:t xml:space="preserve">’) </w:t>
                  </w:r>
                  <w:r w:rsidR="00AF4C1D" w:rsidRPr="00846EEE">
                    <w:rPr>
                      <w:rFonts w:asciiTheme="minorHAnsi" w:hAnsiTheme="minorHAnsi" w:cstheme="minorHAnsi"/>
                      <w:bCs/>
                      <w:color w:val="000000"/>
                      <w:sz w:val="18"/>
                      <w:szCs w:val="18"/>
                      <w:lang w:val="en-US" w:bidi="en-US"/>
                    </w:rPr>
                    <w:t xml:space="preserve">and its subsidiaries (together </w:t>
                  </w:r>
                  <w:r w:rsidR="0044337B" w:rsidRPr="00846EEE">
                    <w:rPr>
                      <w:rFonts w:asciiTheme="minorHAnsi" w:hAnsiTheme="minorHAnsi" w:cstheme="minorHAnsi"/>
                      <w:bCs/>
                      <w:color w:val="000000"/>
                      <w:sz w:val="18"/>
                      <w:szCs w:val="18"/>
                      <w:lang w:val="en-US" w:bidi="en-US"/>
                    </w:rPr>
                    <w:t>‘</w:t>
                  </w:r>
                  <w:r w:rsidRPr="00846EEE">
                    <w:rPr>
                      <w:rFonts w:asciiTheme="minorHAnsi" w:hAnsiTheme="minorHAnsi" w:cstheme="minorHAnsi"/>
                      <w:bCs/>
                      <w:color w:val="000000"/>
                      <w:sz w:val="18"/>
                      <w:szCs w:val="18"/>
                      <w:lang w:val="en-US" w:bidi="en-US"/>
                    </w:rPr>
                    <w:t>the Group</w:t>
                  </w:r>
                  <w:r w:rsidR="0044337B" w:rsidRPr="00846EEE">
                    <w:rPr>
                      <w:rFonts w:asciiTheme="minorHAnsi" w:hAnsiTheme="minorHAnsi" w:cstheme="minorHAnsi"/>
                      <w:bCs/>
                      <w:color w:val="000000"/>
                      <w:sz w:val="18"/>
                      <w:szCs w:val="18"/>
                      <w:lang w:val="en-US" w:bidi="en-US"/>
                    </w:rPr>
                    <w:t xml:space="preserve">’) </w:t>
                  </w:r>
                  <w:r w:rsidRPr="00846EEE">
                    <w:rPr>
                      <w:rFonts w:asciiTheme="minorHAnsi" w:hAnsiTheme="minorHAnsi" w:cstheme="minorHAnsi"/>
                      <w:bCs/>
                      <w:color w:val="000000"/>
                      <w:sz w:val="18"/>
                      <w:szCs w:val="18"/>
                      <w:lang w:val="en-US" w:bidi="en-US"/>
                    </w:rPr>
                    <w:t xml:space="preserve">is a supplier of branded, </w:t>
                  </w:r>
                  <w:r w:rsidR="00B87C21" w:rsidRPr="00846EEE">
                    <w:rPr>
                      <w:rFonts w:asciiTheme="minorHAnsi" w:hAnsiTheme="minorHAnsi" w:cstheme="minorHAnsi"/>
                      <w:bCs/>
                      <w:color w:val="000000"/>
                      <w:sz w:val="18"/>
                      <w:szCs w:val="18"/>
                      <w:lang w:val="en-US" w:bidi="en-US"/>
                    </w:rPr>
                    <w:t>value-for-</w:t>
                  </w:r>
                  <w:r w:rsidRPr="00846EEE">
                    <w:rPr>
                      <w:rFonts w:asciiTheme="minorHAnsi" w:hAnsiTheme="minorHAnsi" w:cstheme="minorHAnsi"/>
                      <w:bCs/>
                      <w:color w:val="000000"/>
                      <w:sz w:val="18"/>
                      <w:szCs w:val="18"/>
                      <w:lang w:val="en-US" w:bidi="en-US"/>
                    </w:rPr>
                    <w:t>money household products to global markets.</w:t>
                  </w:r>
                  <w:r w:rsidR="00551D5A">
                    <w:rPr>
                      <w:rFonts w:asciiTheme="minorHAnsi" w:hAnsiTheme="minorHAnsi" w:cstheme="minorHAnsi"/>
                      <w:bCs/>
                      <w:color w:val="000000"/>
                      <w:sz w:val="18"/>
                      <w:szCs w:val="18"/>
                      <w:lang w:val="en-US" w:bidi="en-US"/>
                    </w:rPr>
                    <w:t xml:space="preserve"> </w:t>
                  </w:r>
                  <w:r w:rsidRPr="00846EEE">
                    <w:rPr>
                      <w:rFonts w:asciiTheme="minorHAnsi" w:hAnsiTheme="minorHAnsi" w:cstheme="minorHAnsi"/>
                      <w:bCs/>
                      <w:color w:val="000000"/>
                      <w:sz w:val="18"/>
                      <w:szCs w:val="18"/>
                      <w:lang w:val="en-US" w:bidi="en-US"/>
                    </w:rPr>
                    <w:t xml:space="preserve">The Company is a public limited company, which is listed on the London Stock Exchange and incorporated and domiciled in the UK. The address of its registered office is UP Global Sourcing Holdings </w:t>
                  </w:r>
                  <w:r w:rsidR="00DC0D02" w:rsidRPr="00846EEE">
                    <w:rPr>
                      <w:rFonts w:asciiTheme="minorHAnsi" w:hAnsiTheme="minorHAnsi" w:cstheme="minorHAnsi"/>
                      <w:bCs/>
                      <w:color w:val="000000"/>
                      <w:sz w:val="18"/>
                      <w:szCs w:val="18"/>
                      <w:lang w:val="en-US" w:bidi="en-US"/>
                    </w:rPr>
                    <w:t>plc</w:t>
                  </w:r>
                  <w:r w:rsidRPr="00846EEE">
                    <w:rPr>
                      <w:rFonts w:asciiTheme="minorHAnsi" w:hAnsiTheme="minorHAnsi" w:cstheme="minorHAnsi"/>
                      <w:bCs/>
                      <w:color w:val="000000"/>
                      <w:sz w:val="18"/>
                      <w:szCs w:val="18"/>
                      <w:lang w:val="en-US" w:bidi="en-US"/>
                    </w:rPr>
                    <w:t xml:space="preserve">, Manor Mill, Victoria Street, </w:t>
                  </w:r>
                  <w:proofErr w:type="spellStart"/>
                  <w:r w:rsidRPr="00846EEE">
                    <w:rPr>
                      <w:rFonts w:asciiTheme="minorHAnsi" w:hAnsiTheme="minorHAnsi" w:cstheme="minorHAnsi"/>
                      <w:bCs/>
                      <w:color w:val="000000"/>
                      <w:sz w:val="18"/>
                      <w:szCs w:val="18"/>
                      <w:lang w:val="en-US" w:bidi="en-US"/>
                    </w:rPr>
                    <w:t>Chadderton</w:t>
                  </w:r>
                  <w:proofErr w:type="spellEnd"/>
                  <w:r w:rsidRPr="00846EEE">
                    <w:rPr>
                      <w:rFonts w:asciiTheme="minorHAnsi" w:hAnsiTheme="minorHAnsi" w:cstheme="minorHAnsi"/>
                      <w:bCs/>
                      <w:color w:val="000000"/>
                      <w:sz w:val="18"/>
                      <w:szCs w:val="18"/>
                      <w:lang w:val="en-US" w:bidi="en-US"/>
                    </w:rPr>
                    <w:t>, Oldham OL9 0DD.</w:t>
                  </w:r>
                </w:p>
                <w:p w14:paraId="246AD392" w14:textId="77777777" w:rsidR="008E7710" w:rsidRPr="00846EEE" w:rsidRDefault="008E7710" w:rsidP="0047121F">
                  <w:pPr>
                    <w:pStyle w:val="xy"/>
                    <w:spacing w:before="0" w:beforeAutospacing="0" w:after="0" w:afterAutospacing="0"/>
                    <w:jc w:val="both"/>
                    <w:rPr>
                      <w:rFonts w:asciiTheme="minorHAnsi" w:hAnsiTheme="minorHAnsi" w:cstheme="minorHAnsi"/>
                      <w:bCs/>
                      <w:color w:val="000000"/>
                      <w:sz w:val="18"/>
                      <w:szCs w:val="18"/>
                      <w:lang w:val="en-US" w:bidi="en-US"/>
                    </w:rPr>
                  </w:pPr>
                  <w:r w:rsidRPr="00846EEE">
                    <w:rPr>
                      <w:rFonts w:asciiTheme="minorHAnsi" w:hAnsiTheme="minorHAnsi" w:cstheme="minorHAnsi"/>
                      <w:bCs/>
                      <w:color w:val="000000"/>
                      <w:sz w:val="18"/>
                      <w:szCs w:val="18"/>
                      <w:lang w:val="en-US" w:bidi="en-US"/>
                    </w:rPr>
                    <w:t> </w:t>
                  </w:r>
                </w:p>
                <w:p w14:paraId="3143549E" w14:textId="3E083F01" w:rsidR="005C4531" w:rsidRPr="00846EEE" w:rsidRDefault="008E7710" w:rsidP="0047121F">
                  <w:pPr>
                    <w:autoSpaceDE w:val="0"/>
                    <w:autoSpaceDN w:val="0"/>
                    <w:adjustRightInd w:val="0"/>
                    <w:spacing w:after="0" w:line="240" w:lineRule="auto"/>
                    <w:jc w:val="both"/>
                    <w:rPr>
                      <w:rFonts w:asciiTheme="minorHAnsi" w:hAnsiTheme="minorHAnsi" w:cstheme="minorHAnsi"/>
                      <w:bCs/>
                      <w:color w:val="000000"/>
                      <w:sz w:val="18"/>
                      <w:szCs w:val="18"/>
                      <w:lang w:val="en-US" w:bidi="en-US"/>
                    </w:rPr>
                  </w:pPr>
                  <w:r w:rsidRPr="00846EEE">
                    <w:rPr>
                      <w:rFonts w:asciiTheme="minorHAnsi" w:hAnsiTheme="minorHAnsi" w:cstheme="minorHAnsi"/>
                      <w:bCs/>
                      <w:color w:val="000000"/>
                      <w:sz w:val="18"/>
                      <w:szCs w:val="18"/>
                      <w:lang w:val="en-US" w:bidi="en-US"/>
                    </w:rPr>
                    <w:t xml:space="preserve">This consolidated condensed interim financial information does not comprise statutory accounts within the meaning of section 434 of the Companies Act 2006. </w:t>
                  </w:r>
                  <w:r w:rsidR="005C4531" w:rsidRPr="00846EEE">
                    <w:rPr>
                      <w:rFonts w:asciiTheme="minorHAnsi" w:hAnsiTheme="minorHAnsi" w:cstheme="minorHAnsi"/>
                      <w:bCs/>
                      <w:color w:val="000000"/>
                      <w:sz w:val="18"/>
                      <w:szCs w:val="18"/>
                      <w:lang w:val="en-US" w:bidi="en-US"/>
                    </w:rPr>
                    <w:t>Statutory accounts for the year ended 31 July 20</w:t>
                  </w:r>
                  <w:r w:rsidR="0047121F" w:rsidRPr="00846EEE">
                    <w:rPr>
                      <w:rFonts w:asciiTheme="minorHAnsi" w:hAnsiTheme="minorHAnsi" w:cstheme="minorHAnsi"/>
                      <w:bCs/>
                      <w:color w:val="000000"/>
                      <w:sz w:val="18"/>
                      <w:szCs w:val="18"/>
                      <w:lang w:val="en-US" w:bidi="en-US"/>
                    </w:rPr>
                    <w:t>22</w:t>
                  </w:r>
                  <w:r w:rsidR="005C4531" w:rsidRPr="00846EEE">
                    <w:rPr>
                      <w:rFonts w:asciiTheme="minorHAnsi" w:hAnsiTheme="minorHAnsi" w:cstheme="minorHAnsi"/>
                      <w:bCs/>
                      <w:color w:val="000000"/>
                      <w:sz w:val="18"/>
                      <w:szCs w:val="18"/>
                      <w:lang w:val="en-US" w:bidi="en-US"/>
                    </w:rPr>
                    <w:t xml:space="preserve"> were approved by the Board of </w:t>
                  </w:r>
                  <w:r w:rsidR="008D64FD" w:rsidRPr="00846EEE">
                    <w:rPr>
                      <w:rFonts w:asciiTheme="minorHAnsi" w:hAnsiTheme="minorHAnsi" w:cstheme="minorHAnsi"/>
                      <w:bCs/>
                      <w:color w:val="000000"/>
                      <w:sz w:val="18"/>
                      <w:szCs w:val="18"/>
                      <w:lang w:val="en-US" w:bidi="en-US"/>
                    </w:rPr>
                    <w:t>D</w:t>
                  </w:r>
                  <w:r w:rsidR="005C4531" w:rsidRPr="00846EEE">
                    <w:rPr>
                      <w:rFonts w:asciiTheme="minorHAnsi" w:hAnsiTheme="minorHAnsi" w:cstheme="minorHAnsi"/>
                      <w:bCs/>
                      <w:color w:val="000000"/>
                      <w:sz w:val="18"/>
                      <w:szCs w:val="18"/>
                      <w:lang w:val="en-US" w:bidi="en-US"/>
                    </w:rPr>
                    <w:t xml:space="preserve">irectors on </w:t>
                  </w:r>
                  <w:r w:rsidR="00506B94" w:rsidRPr="00846EEE">
                    <w:rPr>
                      <w:rFonts w:asciiTheme="minorHAnsi" w:hAnsiTheme="minorHAnsi" w:cstheme="minorHAnsi"/>
                      <w:bCs/>
                      <w:color w:val="000000"/>
                      <w:sz w:val="18"/>
                      <w:szCs w:val="18"/>
                      <w:lang w:val="en-US" w:bidi="en-US"/>
                    </w:rPr>
                    <w:t>2</w:t>
                  </w:r>
                  <w:r w:rsidR="005C4531" w:rsidRPr="00846EEE">
                    <w:rPr>
                      <w:rFonts w:asciiTheme="minorHAnsi" w:hAnsiTheme="minorHAnsi" w:cstheme="minorHAnsi"/>
                      <w:bCs/>
                      <w:color w:val="000000"/>
                      <w:sz w:val="18"/>
                      <w:szCs w:val="18"/>
                      <w:lang w:val="en-US" w:bidi="en-US"/>
                    </w:rPr>
                    <w:t xml:space="preserve"> November 20</w:t>
                  </w:r>
                  <w:r w:rsidR="0047121F" w:rsidRPr="00846EEE">
                    <w:rPr>
                      <w:rFonts w:asciiTheme="minorHAnsi" w:hAnsiTheme="minorHAnsi" w:cstheme="minorHAnsi"/>
                      <w:bCs/>
                      <w:color w:val="000000"/>
                      <w:sz w:val="18"/>
                      <w:szCs w:val="18"/>
                      <w:lang w:val="en-US" w:bidi="en-US"/>
                    </w:rPr>
                    <w:t>22</w:t>
                  </w:r>
                  <w:r w:rsidR="005C4531" w:rsidRPr="00846EEE">
                    <w:rPr>
                      <w:rFonts w:asciiTheme="minorHAnsi" w:hAnsiTheme="minorHAnsi" w:cstheme="minorHAnsi"/>
                      <w:bCs/>
                      <w:color w:val="000000"/>
                      <w:sz w:val="18"/>
                      <w:szCs w:val="18"/>
                      <w:lang w:val="en-US" w:bidi="en-US"/>
                    </w:rPr>
                    <w:t xml:space="preserve"> and delivered to the Registrar of Companies. The comparative figures for the financial year ended 31 July 20</w:t>
                  </w:r>
                  <w:r w:rsidR="0047121F" w:rsidRPr="00846EEE">
                    <w:rPr>
                      <w:rFonts w:asciiTheme="minorHAnsi" w:hAnsiTheme="minorHAnsi" w:cstheme="minorHAnsi"/>
                      <w:bCs/>
                      <w:color w:val="000000"/>
                      <w:sz w:val="18"/>
                      <w:szCs w:val="18"/>
                      <w:lang w:val="en-US" w:bidi="en-US"/>
                    </w:rPr>
                    <w:t>22</w:t>
                  </w:r>
                  <w:r w:rsidR="005C4531" w:rsidRPr="00846EEE">
                    <w:rPr>
                      <w:rFonts w:asciiTheme="minorHAnsi" w:hAnsiTheme="minorHAnsi" w:cstheme="minorHAnsi"/>
                      <w:bCs/>
                      <w:color w:val="000000"/>
                      <w:sz w:val="18"/>
                      <w:szCs w:val="18"/>
                      <w:lang w:val="en-US" w:bidi="en-US"/>
                    </w:rPr>
                    <w:t xml:space="preserve"> are an extract of the Company’s statutory accounts for that year. The report of the auditor on those accounts was unqualified, did not contain an emphasis of matter paragraph and did not contain any statement under section 498 (2) or (3) of the Companies Act 2006. </w:t>
                  </w:r>
                </w:p>
                <w:p w14:paraId="7F11FD4C" w14:textId="77777777" w:rsidR="005C4531" w:rsidRPr="00846EEE" w:rsidRDefault="005C4531" w:rsidP="0047121F">
                  <w:pPr>
                    <w:autoSpaceDE w:val="0"/>
                    <w:autoSpaceDN w:val="0"/>
                    <w:adjustRightInd w:val="0"/>
                    <w:spacing w:after="0" w:line="240" w:lineRule="auto"/>
                    <w:jc w:val="both"/>
                    <w:rPr>
                      <w:rFonts w:asciiTheme="minorHAnsi" w:hAnsiTheme="minorHAnsi" w:cstheme="minorHAnsi"/>
                      <w:bCs/>
                      <w:color w:val="000000"/>
                      <w:sz w:val="18"/>
                      <w:szCs w:val="18"/>
                      <w:lang w:val="en-US" w:bidi="en-US"/>
                    </w:rPr>
                  </w:pPr>
                </w:p>
                <w:p w14:paraId="702F4CE2" w14:textId="77777777" w:rsidR="005C4531" w:rsidRPr="00846EEE" w:rsidRDefault="005C4531" w:rsidP="0047121F">
                  <w:pPr>
                    <w:autoSpaceDE w:val="0"/>
                    <w:autoSpaceDN w:val="0"/>
                    <w:adjustRightInd w:val="0"/>
                    <w:spacing w:after="0" w:line="240" w:lineRule="auto"/>
                    <w:jc w:val="both"/>
                    <w:rPr>
                      <w:rFonts w:asciiTheme="minorHAnsi" w:hAnsiTheme="minorHAnsi" w:cstheme="minorHAnsi"/>
                      <w:bCs/>
                      <w:color w:val="000000"/>
                      <w:sz w:val="18"/>
                      <w:szCs w:val="18"/>
                      <w:lang w:val="en-US" w:bidi="en-US"/>
                    </w:rPr>
                  </w:pPr>
                  <w:r w:rsidRPr="00846EEE">
                    <w:rPr>
                      <w:rFonts w:asciiTheme="minorHAnsi" w:hAnsiTheme="minorHAnsi" w:cstheme="minorHAnsi"/>
                      <w:bCs/>
                      <w:color w:val="000000"/>
                      <w:sz w:val="18"/>
                      <w:szCs w:val="18"/>
                      <w:lang w:val="en-US" w:bidi="en-US"/>
                    </w:rPr>
                    <w:t>This consolidated condensed interim financial information is unaudited but has been reviewed by the Company’s Auditor.</w:t>
                  </w:r>
                </w:p>
                <w:p w14:paraId="61A5791A" w14:textId="77777777" w:rsidR="00007A5A" w:rsidRPr="00846EEE" w:rsidRDefault="00007A5A" w:rsidP="0047121F">
                  <w:pPr>
                    <w:widowControl w:val="0"/>
                    <w:tabs>
                      <w:tab w:val="left" w:pos="464"/>
                    </w:tabs>
                    <w:autoSpaceDE w:val="0"/>
                    <w:autoSpaceDN w:val="0"/>
                    <w:adjustRightInd w:val="0"/>
                    <w:spacing w:after="0" w:line="240" w:lineRule="auto"/>
                    <w:ind w:left="464" w:hanging="464"/>
                    <w:jc w:val="both"/>
                    <w:rPr>
                      <w:rFonts w:asciiTheme="minorHAnsi" w:hAnsiTheme="minorHAnsi" w:cstheme="minorHAnsi"/>
                      <w:b/>
                      <w:bCs/>
                      <w:color w:val="000000"/>
                      <w:sz w:val="18"/>
                      <w:szCs w:val="18"/>
                      <w:lang w:val="en-US" w:bidi="en-US"/>
                    </w:rPr>
                  </w:pPr>
                </w:p>
                <w:p w14:paraId="0DDB6BBD" w14:textId="5D65D56A" w:rsidR="008E7710" w:rsidRPr="00846EEE" w:rsidRDefault="00007A5A" w:rsidP="00846EEE">
                  <w:pPr>
                    <w:pStyle w:val="ListParagraph"/>
                    <w:widowControl w:val="0"/>
                    <w:numPr>
                      <w:ilvl w:val="0"/>
                      <w:numId w:val="1"/>
                    </w:numPr>
                    <w:tabs>
                      <w:tab w:val="left" w:pos="464"/>
                    </w:tabs>
                    <w:autoSpaceDE w:val="0"/>
                    <w:autoSpaceDN w:val="0"/>
                    <w:adjustRightInd w:val="0"/>
                    <w:spacing w:after="0" w:line="240" w:lineRule="auto"/>
                    <w:ind w:left="352" w:hanging="352"/>
                    <w:jc w:val="both"/>
                    <w:rPr>
                      <w:rFonts w:asciiTheme="minorHAnsi" w:hAnsiTheme="minorHAnsi" w:cstheme="minorHAnsi"/>
                      <w:b/>
                      <w:bCs/>
                      <w:color w:val="000000"/>
                      <w:sz w:val="18"/>
                      <w:szCs w:val="18"/>
                      <w:lang w:val="en-US" w:bidi="en-US"/>
                    </w:rPr>
                  </w:pPr>
                  <w:r w:rsidRPr="00846EEE">
                    <w:rPr>
                      <w:rFonts w:asciiTheme="minorHAnsi" w:hAnsiTheme="minorHAnsi" w:cstheme="minorHAnsi"/>
                      <w:b/>
                      <w:bCs/>
                      <w:color w:val="000000"/>
                      <w:sz w:val="18"/>
                      <w:szCs w:val="18"/>
                      <w:lang w:val="en-US" w:bidi="en-US"/>
                    </w:rPr>
                    <w:t xml:space="preserve">Basis of </w:t>
                  </w:r>
                  <w:r w:rsidR="0044337B" w:rsidRPr="00846EEE">
                    <w:rPr>
                      <w:rFonts w:asciiTheme="minorHAnsi" w:hAnsiTheme="minorHAnsi" w:cstheme="minorHAnsi"/>
                      <w:b/>
                      <w:bCs/>
                      <w:color w:val="000000"/>
                      <w:sz w:val="18"/>
                      <w:szCs w:val="18"/>
                      <w:lang w:val="en-US" w:bidi="en-US"/>
                    </w:rPr>
                    <w:t>Preparation</w:t>
                  </w:r>
                </w:p>
                <w:p w14:paraId="35C0F5C5" w14:textId="3685EF05" w:rsidR="008E7710" w:rsidRPr="00846EEE" w:rsidRDefault="008E7710" w:rsidP="0047121F">
                  <w:pPr>
                    <w:widowControl w:val="0"/>
                    <w:tabs>
                      <w:tab w:val="left" w:pos="464"/>
                    </w:tabs>
                    <w:autoSpaceDE w:val="0"/>
                    <w:autoSpaceDN w:val="0"/>
                    <w:adjustRightInd w:val="0"/>
                    <w:spacing w:after="0" w:line="240" w:lineRule="auto"/>
                    <w:jc w:val="both"/>
                    <w:rPr>
                      <w:rFonts w:asciiTheme="minorHAnsi" w:hAnsiTheme="minorHAnsi" w:cstheme="minorHAnsi"/>
                      <w:bCs/>
                      <w:color w:val="000000"/>
                      <w:sz w:val="18"/>
                      <w:szCs w:val="18"/>
                      <w:lang w:val="en-US" w:bidi="en-US"/>
                    </w:rPr>
                  </w:pPr>
                  <w:r w:rsidRPr="00846EEE">
                    <w:rPr>
                      <w:rFonts w:asciiTheme="minorHAnsi" w:hAnsiTheme="minorHAnsi" w:cstheme="minorHAnsi"/>
                      <w:bCs/>
                      <w:color w:val="000000"/>
                      <w:sz w:val="18"/>
                      <w:szCs w:val="18"/>
                      <w:lang w:val="en-US" w:bidi="en-US"/>
                    </w:rPr>
                    <w:t>This consolidated condensed interim financial information for the six months ended 31 January 20</w:t>
                  </w:r>
                  <w:r w:rsidR="0047121F" w:rsidRPr="00846EEE">
                    <w:rPr>
                      <w:rFonts w:asciiTheme="minorHAnsi" w:hAnsiTheme="minorHAnsi" w:cstheme="minorHAnsi"/>
                      <w:bCs/>
                      <w:color w:val="000000"/>
                      <w:sz w:val="18"/>
                      <w:szCs w:val="18"/>
                      <w:lang w:val="en-US" w:bidi="en-US"/>
                    </w:rPr>
                    <w:t>23</w:t>
                  </w:r>
                  <w:r w:rsidRPr="00846EEE">
                    <w:rPr>
                      <w:rFonts w:asciiTheme="minorHAnsi" w:hAnsiTheme="minorHAnsi" w:cstheme="minorHAnsi"/>
                      <w:bCs/>
                      <w:color w:val="000000"/>
                      <w:sz w:val="18"/>
                      <w:szCs w:val="18"/>
                      <w:lang w:val="en-US" w:bidi="en-US"/>
                    </w:rPr>
                    <w:t xml:space="preserve"> has been prepared in accordance with IAS 34, 'Interim Financial Reporting'</w:t>
                  </w:r>
                  <w:r w:rsidR="00E81110" w:rsidRPr="00846EEE">
                    <w:rPr>
                      <w:rFonts w:asciiTheme="minorHAnsi" w:hAnsiTheme="minorHAnsi" w:cstheme="minorHAnsi"/>
                      <w:bCs/>
                      <w:color w:val="000000"/>
                      <w:sz w:val="18"/>
                      <w:szCs w:val="18"/>
                      <w:lang w:val="en-US" w:bidi="en-US"/>
                    </w:rPr>
                    <w:t xml:space="preserve">, in accordance with </w:t>
                  </w:r>
                  <w:r w:rsidR="009A327A" w:rsidRPr="00846EEE">
                    <w:rPr>
                      <w:rFonts w:asciiTheme="minorHAnsi" w:hAnsiTheme="minorHAnsi" w:cstheme="minorHAnsi"/>
                      <w:bCs/>
                      <w:color w:val="000000"/>
                      <w:sz w:val="18"/>
                      <w:szCs w:val="18"/>
                      <w:lang w:val="en-US" w:bidi="en-US"/>
                    </w:rPr>
                    <w:t>UK adopted international accounting standards.</w:t>
                  </w:r>
                  <w:r w:rsidRPr="00846EEE">
                    <w:rPr>
                      <w:rFonts w:asciiTheme="minorHAnsi" w:hAnsiTheme="minorHAnsi" w:cstheme="minorHAnsi"/>
                      <w:bCs/>
                      <w:color w:val="000000"/>
                      <w:sz w:val="18"/>
                      <w:szCs w:val="18"/>
                      <w:lang w:val="en-US" w:bidi="en-US"/>
                    </w:rPr>
                    <w:t xml:space="preserve"> The consolidated condensed interim financial information should be read in conjunction with the </w:t>
                  </w:r>
                  <w:r w:rsidR="00D716B8" w:rsidRPr="00846EEE">
                    <w:rPr>
                      <w:rFonts w:asciiTheme="minorHAnsi" w:hAnsiTheme="minorHAnsi" w:cstheme="minorHAnsi"/>
                      <w:bCs/>
                      <w:color w:val="000000"/>
                      <w:sz w:val="18"/>
                      <w:szCs w:val="18"/>
                      <w:lang w:val="en-US" w:bidi="en-US"/>
                    </w:rPr>
                    <w:t xml:space="preserve">audited financial statements for the </w:t>
                  </w:r>
                  <w:r w:rsidRPr="00846EEE">
                    <w:rPr>
                      <w:rFonts w:asciiTheme="minorHAnsi" w:hAnsiTheme="minorHAnsi" w:cstheme="minorHAnsi"/>
                      <w:bCs/>
                      <w:color w:val="000000"/>
                      <w:sz w:val="18"/>
                      <w:szCs w:val="18"/>
                      <w:lang w:val="en-US" w:bidi="en-US"/>
                    </w:rPr>
                    <w:t xml:space="preserve">year ended </w:t>
                  </w:r>
                  <w:r w:rsidR="00353912" w:rsidRPr="00846EEE">
                    <w:rPr>
                      <w:rFonts w:asciiTheme="minorHAnsi" w:hAnsiTheme="minorHAnsi" w:cstheme="minorHAnsi"/>
                      <w:bCs/>
                      <w:color w:val="000000"/>
                      <w:sz w:val="18"/>
                      <w:szCs w:val="18"/>
                      <w:lang w:val="en-US" w:bidi="en-US"/>
                    </w:rPr>
                    <w:t>31 July 20</w:t>
                  </w:r>
                  <w:r w:rsidR="0047121F" w:rsidRPr="00846EEE">
                    <w:rPr>
                      <w:rFonts w:asciiTheme="minorHAnsi" w:hAnsiTheme="minorHAnsi" w:cstheme="minorHAnsi"/>
                      <w:bCs/>
                      <w:color w:val="000000"/>
                      <w:sz w:val="18"/>
                      <w:szCs w:val="18"/>
                      <w:lang w:val="en-US" w:bidi="en-US"/>
                    </w:rPr>
                    <w:t>22</w:t>
                  </w:r>
                  <w:r w:rsidR="00D716B8" w:rsidRPr="00846EEE">
                    <w:rPr>
                      <w:rFonts w:asciiTheme="minorHAnsi" w:hAnsiTheme="minorHAnsi" w:cstheme="minorHAnsi"/>
                      <w:bCs/>
                      <w:color w:val="000000"/>
                      <w:sz w:val="18"/>
                      <w:szCs w:val="18"/>
                      <w:lang w:val="en-US" w:bidi="en-US"/>
                    </w:rPr>
                    <w:t>, which have</w:t>
                  </w:r>
                  <w:r w:rsidRPr="00846EEE">
                    <w:rPr>
                      <w:rFonts w:asciiTheme="minorHAnsi" w:hAnsiTheme="minorHAnsi" w:cstheme="minorHAnsi"/>
                      <w:bCs/>
                      <w:color w:val="000000"/>
                      <w:sz w:val="18"/>
                      <w:szCs w:val="18"/>
                      <w:lang w:val="en-US" w:bidi="en-US"/>
                    </w:rPr>
                    <w:t xml:space="preserve"> been prepared in accordance with </w:t>
                  </w:r>
                  <w:r w:rsidR="00C64F83">
                    <w:rPr>
                      <w:rFonts w:asciiTheme="minorHAnsi" w:hAnsiTheme="minorHAnsi" w:cstheme="minorHAnsi"/>
                      <w:bCs/>
                      <w:color w:val="000000"/>
                      <w:sz w:val="18"/>
                      <w:szCs w:val="18"/>
                      <w:lang w:val="en-US" w:bidi="en-US"/>
                    </w:rPr>
                    <w:t xml:space="preserve">UK </w:t>
                  </w:r>
                  <w:r w:rsidR="00C64F83" w:rsidRPr="00846EEE">
                    <w:rPr>
                      <w:rFonts w:asciiTheme="minorHAnsi" w:hAnsiTheme="minorHAnsi" w:cstheme="minorHAnsi"/>
                      <w:bCs/>
                      <w:color w:val="000000"/>
                      <w:sz w:val="18"/>
                      <w:szCs w:val="18"/>
                      <w:lang w:val="en-US" w:bidi="en-US"/>
                    </w:rPr>
                    <w:t xml:space="preserve">adopted </w:t>
                  </w:r>
                  <w:r w:rsidRPr="00846EEE">
                    <w:rPr>
                      <w:rFonts w:asciiTheme="minorHAnsi" w:hAnsiTheme="minorHAnsi" w:cstheme="minorHAnsi"/>
                      <w:bCs/>
                      <w:color w:val="000000"/>
                      <w:sz w:val="18"/>
                      <w:szCs w:val="18"/>
                      <w:lang w:val="en-US" w:bidi="en-US"/>
                    </w:rPr>
                    <w:t>IFRSs</w:t>
                  </w:r>
                  <w:r w:rsidR="00C64F83">
                    <w:rPr>
                      <w:rFonts w:asciiTheme="minorHAnsi" w:hAnsiTheme="minorHAnsi" w:cstheme="minorHAnsi"/>
                      <w:bCs/>
                      <w:color w:val="000000"/>
                      <w:sz w:val="18"/>
                      <w:szCs w:val="18"/>
                      <w:lang w:val="en-US" w:bidi="en-US"/>
                    </w:rPr>
                    <w:t xml:space="preserve">. </w:t>
                  </w:r>
                </w:p>
                <w:p w14:paraId="46A164AD" w14:textId="77777777" w:rsidR="00CE275A" w:rsidRPr="00846EEE" w:rsidRDefault="00CE275A" w:rsidP="0047121F">
                  <w:pPr>
                    <w:widowControl w:val="0"/>
                    <w:tabs>
                      <w:tab w:val="left" w:pos="464"/>
                    </w:tabs>
                    <w:autoSpaceDE w:val="0"/>
                    <w:autoSpaceDN w:val="0"/>
                    <w:adjustRightInd w:val="0"/>
                    <w:spacing w:after="0" w:line="240" w:lineRule="auto"/>
                    <w:jc w:val="both"/>
                    <w:rPr>
                      <w:rFonts w:asciiTheme="minorHAnsi" w:hAnsiTheme="minorHAnsi" w:cstheme="minorHAnsi"/>
                      <w:b/>
                      <w:bCs/>
                      <w:color w:val="000000"/>
                      <w:sz w:val="18"/>
                      <w:szCs w:val="18"/>
                      <w:lang w:val="en-US" w:bidi="en-US"/>
                    </w:rPr>
                  </w:pPr>
                </w:p>
                <w:p w14:paraId="38A02015" w14:textId="77777777" w:rsidR="00A526AF" w:rsidRPr="00846EEE" w:rsidRDefault="00A526AF" w:rsidP="00846EEE">
                  <w:pPr>
                    <w:pStyle w:val="Body"/>
                    <w:tabs>
                      <w:tab w:val="left" w:pos="284"/>
                    </w:tabs>
                    <w:spacing w:before="0" w:after="0" w:line="240" w:lineRule="auto"/>
                    <w:ind w:left="0"/>
                    <w:jc w:val="both"/>
                    <w:rPr>
                      <w:rFonts w:asciiTheme="minorHAnsi" w:eastAsia="Times New Roman" w:hAnsiTheme="minorHAnsi" w:cstheme="minorHAnsi"/>
                      <w:b/>
                      <w:color w:val="auto"/>
                      <w:sz w:val="18"/>
                      <w:szCs w:val="18"/>
                      <w:lang w:val="en-US" w:eastAsia="en-GB"/>
                    </w:rPr>
                  </w:pPr>
                  <w:r w:rsidRPr="00846EEE">
                    <w:rPr>
                      <w:rFonts w:asciiTheme="minorHAnsi" w:eastAsia="Times New Roman" w:hAnsiTheme="minorHAnsi" w:cstheme="minorHAnsi"/>
                      <w:b/>
                      <w:color w:val="auto"/>
                      <w:sz w:val="18"/>
                      <w:szCs w:val="18"/>
                      <w:lang w:val="en-US" w:eastAsia="en-GB"/>
                    </w:rPr>
                    <w:t>Going Concern Basis</w:t>
                  </w:r>
                </w:p>
                <w:p w14:paraId="71FB9A4C" w14:textId="77777777" w:rsidR="00DC0A69" w:rsidRPr="00846EEE" w:rsidRDefault="00A526AF" w:rsidP="0047121F">
                  <w:pPr>
                    <w:widowControl w:val="0"/>
                    <w:tabs>
                      <w:tab w:val="left" w:pos="464"/>
                    </w:tabs>
                    <w:autoSpaceDE w:val="0"/>
                    <w:autoSpaceDN w:val="0"/>
                    <w:adjustRightInd w:val="0"/>
                    <w:spacing w:after="0" w:line="240" w:lineRule="auto"/>
                    <w:jc w:val="both"/>
                    <w:rPr>
                      <w:rFonts w:asciiTheme="minorHAnsi" w:hAnsiTheme="minorHAnsi" w:cstheme="minorHAnsi"/>
                      <w:b/>
                      <w:bCs/>
                      <w:color w:val="000000"/>
                      <w:sz w:val="18"/>
                      <w:szCs w:val="18"/>
                      <w:lang w:val="en-US" w:bidi="en-US"/>
                    </w:rPr>
                  </w:pPr>
                  <w:r w:rsidRPr="00846EEE">
                    <w:rPr>
                      <w:rFonts w:asciiTheme="minorHAnsi" w:hAnsiTheme="minorHAnsi" w:cstheme="minorHAnsi"/>
                      <w:sz w:val="18"/>
                      <w:szCs w:val="18"/>
                      <w:lang w:val="en-US"/>
                    </w:rPr>
                    <w:t>The Directors have adopted the going concern basis in preparing this Interim Statement after assessing the resilience of the Group in severe but plausible scenarios, taking account of its current position and prospects, the principal risks facing the business, including those relating to COVID-19</w:t>
                  </w:r>
                  <w:r w:rsidR="00FF3F3F" w:rsidRPr="00846EEE">
                    <w:rPr>
                      <w:rFonts w:asciiTheme="minorHAnsi" w:hAnsiTheme="minorHAnsi" w:cstheme="minorHAnsi"/>
                      <w:sz w:val="18"/>
                      <w:szCs w:val="18"/>
                      <w:lang w:val="en-US"/>
                    </w:rPr>
                    <w:t xml:space="preserve"> and the conflict in Ukraine</w:t>
                  </w:r>
                  <w:r w:rsidRPr="00846EEE">
                    <w:rPr>
                      <w:rFonts w:asciiTheme="minorHAnsi" w:hAnsiTheme="minorHAnsi" w:cstheme="minorHAnsi"/>
                      <w:sz w:val="18"/>
                      <w:szCs w:val="18"/>
                      <w:lang w:val="en-US"/>
                    </w:rPr>
                    <w:t xml:space="preserve">, how these are managed and the impact that they would have on the forecast financial position. In assessing whether the Group could withstand such negative impacts, the Board has considered cash flow, </w:t>
                  </w:r>
                  <w:proofErr w:type="gramStart"/>
                  <w:r w:rsidRPr="00846EEE">
                    <w:rPr>
                      <w:rFonts w:asciiTheme="minorHAnsi" w:hAnsiTheme="minorHAnsi" w:cstheme="minorHAnsi"/>
                      <w:sz w:val="18"/>
                      <w:szCs w:val="18"/>
                      <w:lang w:val="en-US"/>
                    </w:rPr>
                    <w:t>impact</w:t>
                  </w:r>
                  <w:proofErr w:type="gramEnd"/>
                  <w:r w:rsidRPr="00846EEE">
                    <w:rPr>
                      <w:rFonts w:asciiTheme="minorHAnsi" w:hAnsiTheme="minorHAnsi" w:cstheme="minorHAnsi"/>
                      <w:sz w:val="18"/>
                      <w:szCs w:val="18"/>
                      <w:lang w:val="en-US"/>
                    </w:rPr>
                    <w:t xml:space="preserve"> on debt covenants and headroom against its current borrowing facilities. The Group’s projections</w:t>
                  </w:r>
                  <w:r w:rsidR="005319C4" w:rsidRPr="00846EEE">
                    <w:rPr>
                      <w:rFonts w:asciiTheme="minorHAnsi" w:hAnsiTheme="minorHAnsi" w:cstheme="minorHAnsi"/>
                      <w:sz w:val="18"/>
                      <w:szCs w:val="18"/>
                      <w:lang w:val="en-US"/>
                    </w:rPr>
                    <w:t>, which cover the period to July 2024,</w:t>
                  </w:r>
                  <w:r w:rsidRPr="00846EEE">
                    <w:rPr>
                      <w:rFonts w:asciiTheme="minorHAnsi" w:hAnsiTheme="minorHAnsi" w:cstheme="minorHAnsi"/>
                      <w:sz w:val="18"/>
                      <w:szCs w:val="18"/>
                      <w:lang w:val="en-US"/>
                    </w:rPr>
                    <w:t xml:space="preserve"> show that the Group will be able to operate within its existing banking facilities and covenants. Therefore, the Directors have a reasonable expectation that the Group has adequate resources to continue in operational existence for at least 12 months from the date of approval of the Interim Statement.</w:t>
                  </w:r>
                  <w:r w:rsidR="009A2230" w:rsidRPr="00846EEE">
                    <w:rPr>
                      <w:rFonts w:asciiTheme="minorHAnsi" w:hAnsiTheme="minorHAnsi" w:cstheme="minorHAnsi"/>
                      <w:sz w:val="18"/>
                      <w:szCs w:val="18"/>
                      <w:lang w:val="en-US"/>
                    </w:rPr>
                    <w:t xml:space="preserve"> </w:t>
                  </w:r>
                </w:p>
                <w:p w14:paraId="5C5B3930" w14:textId="77777777" w:rsidR="00DC0A69" w:rsidRPr="00846EEE" w:rsidRDefault="00DC0A69" w:rsidP="0047121F">
                  <w:pPr>
                    <w:widowControl w:val="0"/>
                    <w:tabs>
                      <w:tab w:val="left" w:pos="464"/>
                    </w:tabs>
                    <w:autoSpaceDE w:val="0"/>
                    <w:autoSpaceDN w:val="0"/>
                    <w:adjustRightInd w:val="0"/>
                    <w:spacing w:after="0" w:line="240" w:lineRule="auto"/>
                    <w:jc w:val="both"/>
                    <w:rPr>
                      <w:rFonts w:asciiTheme="minorHAnsi" w:hAnsiTheme="minorHAnsi" w:cstheme="minorHAnsi"/>
                      <w:b/>
                      <w:bCs/>
                      <w:color w:val="000000"/>
                      <w:sz w:val="18"/>
                      <w:szCs w:val="18"/>
                      <w:lang w:val="en-US" w:bidi="en-US"/>
                    </w:rPr>
                  </w:pPr>
                </w:p>
                <w:p w14:paraId="32ADCFB6" w14:textId="77777777" w:rsidR="00AF3685" w:rsidRPr="008B47AB" w:rsidRDefault="00CE275A" w:rsidP="00846EEE">
                  <w:pPr>
                    <w:widowControl w:val="0"/>
                    <w:tabs>
                      <w:tab w:val="left" w:pos="464"/>
                    </w:tabs>
                    <w:autoSpaceDE w:val="0"/>
                    <w:autoSpaceDN w:val="0"/>
                    <w:adjustRightInd w:val="0"/>
                    <w:spacing w:after="0" w:line="240" w:lineRule="auto"/>
                    <w:jc w:val="both"/>
                    <w:rPr>
                      <w:rFonts w:asciiTheme="minorHAnsi" w:hAnsiTheme="minorHAnsi" w:cstheme="minorHAnsi"/>
                      <w:color w:val="000000" w:themeColor="text1"/>
                      <w:sz w:val="18"/>
                      <w:szCs w:val="18"/>
                      <w:lang w:val="en-US" w:bidi="en-US"/>
                    </w:rPr>
                  </w:pPr>
                  <w:r w:rsidRPr="008B47AB">
                    <w:rPr>
                      <w:rFonts w:asciiTheme="minorHAnsi" w:hAnsiTheme="minorHAnsi" w:cstheme="minorHAnsi"/>
                      <w:b/>
                      <w:bCs/>
                      <w:color w:val="000000" w:themeColor="text1"/>
                      <w:sz w:val="18"/>
                      <w:szCs w:val="18"/>
                      <w:lang w:val="en-US" w:bidi="en-US"/>
                    </w:rPr>
                    <w:t xml:space="preserve">Accounting </w:t>
                  </w:r>
                  <w:r w:rsidR="0044337B" w:rsidRPr="008B47AB">
                    <w:rPr>
                      <w:rFonts w:asciiTheme="minorHAnsi" w:hAnsiTheme="minorHAnsi" w:cstheme="minorHAnsi"/>
                      <w:b/>
                      <w:bCs/>
                      <w:color w:val="000000" w:themeColor="text1"/>
                      <w:sz w:val="18"/>
                      <w:szCs w:val="18"/>
                      <w:lang w:val="en-US" w:bidi="en-US"/>
                    </w:rPr>
                    <w:t>Policies</w:t>
                  </w:r>
                </w:p>
                <w:p w14:paraId="2DC7521C" w14:textId="2F8EBDD4" w:rsidR="00E600DD" w:rsidRPr="008B47AB" w:rsidRDefault="00EE1D55" w:rsidP="0047121F">
                  <w:pPr>
                    <w:pStyle w:val="Body"/>
                    <w:tabs>
                      <w:tab w:val="left" w:pos="284"/>
                    </w:tabs>
                    <w:spacing w:before="0" w:after="0" w:line="240" w:lineRule="auto"/>
                    <w:ind w:left="1" w:hanging="1"/>
                    <w:jc w:val="both"/>
                    <w:rPr>
                      <w:rFonts w:asciiTheme="minorHAnsi" w:eastAsia="Times New Roman" w:hAnsiTheme="minorHAnsi" w:cstheme="minorHAnsi"/>
                      <w:color w:val="000000" w:themeColor="text1"/>
                      <w:sz w:val="18"/>
                      <w:szCs w:val="18"/>
                      <w:lang w:val="en-US" w:eastAsia="en-GB"/>
                    </w:rPr>
                  </w:pPr>
                  <w:r w:rsidRPr="008B47AB">
                    <w:rPr>
                      <w:rFonts w:asciiTheme="minorHAnsi" w:hAnsiTheme="minorHAnsi" w:cstheme="minorHAnsi"/>
                      <w:color w:val="000000" w:themeColor="text1"/>
                      <w:sz w:val="18"/>
                      <w:szCs w:val="18"/>
                      <w:lang w:val="en-US"/>
                    </w:rPr>
                    <w:t>The accounting policies and method of computations adopted in the preparation of these condensed consolidated interim financial statements are consistent with those followed in the preparation of the Group’s annual financial statements for the year</w:t>
                  </w:r>
                  <w:r w:rsidR="00C23433" w:rsidRPr="008B47AB">
                    <w:rPr>
                      <w:rFonts w:asciiTheme="minorHAnsi" w:hAnsiTheme="minorHAnsi" w:cstheme="minorHAnsi"/>
                      <w:color w:val="000000" w:themeColor="text1"/>
                      <w:sz w:val="18"/>
                      <w:szCs w:val="18"/>
                      <w:lang w:val="en-US"/>
                    </w:rPr>
                    <w:t xml:space="preserve"> ended 31 July 20</w:t>
                  </w:r>
                  <w:r w:rsidR="0047121F" w:rsidRPr="008B47AB">
                    <w:rPr>
                      <w:rFonts w:asciiTheme="minorHAnsi" w:hAnsiTheme="minorHAnsi" w:cstheme="minorHAnsi"/>
                      <w:color w:val="000000" w:themeColor="text1"/>
                      <w:sz w:val="18"/>
                      <w:szCs w:val="18"/>
                      <w:lang w:val="en-US"/>
                    </w:rPr>
                    <w:t>22</w:t>
                  </w:r>
                  <w:r w:rsidRPr="008B47AB">
                    <w:rPr>
                      <w:rFonts w:asciiTheme="minorHAnsi" w:hAnsiTheme="minorHAnsi" w:cstheme="minorHAnsi"/>
                      <w:color w:val="000000" w:themeColor="text1"/>
                      <w:sz w:val="18"/>
                      <w:szCs w:val="18"/>
                      <w:lang w:val="en-US"/>
                    </w:rPr>
                    <w:t>.</w:t>
                  </w:r>
                  <w:r w:rsidR="00DC0A69" w:rsidRPr="008B47AB">
                    <w:rPr>
                      <w:rFonts w:asciiTheme="minorHAnsi" w:hAnsiTheme="minorHAnsi" w:cstheme="minorHAnsi"/>
                      <w:color w:val="000000" w:themeColor="text1"/>
                      <w:sz w:val="18"/>
                      <w:szCs w:val="18"/>
                      <w:lang w:val="en-US"/>
                    </w:rPr>
                    <w:t xml:space="preserve"> </w:t>
                  </w:r>
                </w:p>
                <w:p w14:paraId="52A5D842" w14:textId="77777777" w:rsidR="00E600DD" w:rsidRPr="00846EEE" w:rsidRDefault="00E600DD" w:rsidP="0047121F">
                  <w:pPr>
                    <w:pStyle w:val="Body"/>
                    <w:tabs>
                      <w:tab w:val="left" w:pos="284"/>
                    </w:tabs>
                    <w:spacing w:before="0" w:after="0" w:line="240" w:lineRule="auto"/>
                    <w:ind w:left="0" w:hanging="284"/>
                    <w:jc w:val="both"/>
                    <w:rPr>
                      <w:rFonts w:asciiTheme="minorHAnsi" w:eastAsia="Times New Roman" w:hAnsiTheme="minorHAnsi" w:cstheme="minorHAnsi"/>
                      <w:color w:val="auto"/>
                      <w:sz w:val="18"/>
                      <w:szCs w:val="18"/>
                      <w:lang w:val="en-US" w:eastAsia="en-GB"/>
                    </w:rPr>
                  </w:pPr>
                </w:p>
                <w:p w14:paraId="508734F3" w14:textId="5A594C52" w:rsidR="00930773" w:rsidRPr="00846EEE" w:rsidRDefault="00930773" w:rsidP="00846EEE">
                  <w:pPr>
                    <w:pStyle w:val="ListParagraph"/>
                    <w:widowControl w:val="0"/>
                    <w:numPr>
                      <w:ilvl w:val="0"/>
                      <w:numId w:val="1"/>
                    </w:numPr>
                    <w:tabs>
                      <w:tab w:val="left" w:pos="464"/>
                    </w:tabs>
                    <w:autoSpaceDE w:val="0"/>
                    <w:autoSpaceDN w:val="0"/>
                    <w:adjustRightInd w:val="0"/>
                    <w:spacing w:after="0" w:line="240" w:lineRule="auto"/>
                    <w:ind w:left="351" w:hanging="351"/>
                    <w:jc w:val="both"/>
                    <w:rPr>
                      <w:rFonts w:asciiTheme="minorHAnsi" w:hAnsiTheme="minorHAnsi" w:cstheme="minorHAnsi"/>
                      <w:bCs/>
                      <w:color w:val="000000"/>
                      <w:sz w:val="18"/>
                      <w:szCs w:val="18"/>
                      <w:lang w:val="en-US" w:bidi="en-US"/>
                    </w:rPr>
                  </w:pPr>
                  <w:r w:rsidRPr="00846EEE">
                    <w:rPr>
                      <w:rFonts w:asciiTheme="minorHAnsi" w:hAnsiTheme="minorHAnsi" w:cstheme="minorHAnsi"/>
                      <w:b/>
                      <w:bCs/>
                      <w:color w:val="000000"/>
                      <w:sz w:val="18"/>
                      <w:szCs w:val="18"/>
                      <w:lang w:val="en-US" w:bidi="en-US"/>
                    </w:rPr>
                    <w:t xml:space="preserve">Operating </w:t>
                  </w:r>
                  <w:r w:rsidR="004D20C3" w:rsidRPr="00846EEE">
                    <w:rPr>
                      <w:rFonts w:asciiTheme="minorHAnsi" w:hAnsiTheme="minorHAnsi" w:cstheme="minorHAnsi"/>
                      <w:b/>
                      <w:bCs/>
                      <w:color w:val="000000"/>
                      <w:sz w:val="18"/>
                      <w:szCs w:val="18"/>
                      <w:lang w:val="en-US" w:bidi="en-US"/>
                    </w:rPr>
                    <w:t>Segments</w:t>
                  </w:r>
                </w:p>
                <w:p w14:paraId="0532563D" w14:textId="41AB74EC" w:rsidR="00930773" w:rsidRPr="00846EEE" w:rsidRDefault="00930773" w:rsidP="0047121F">
                  <w:pPr>
                    <w:widowControl w:val="0"/>
                    <w:tabs>
                      <w:tab w:val="left" w:pos="464"/>
                    </w:tabs>
                    <w:autoSpaceDE w:val="0"/>
                    <w:autoSpaceDN w:val="0"/>
                    <w:adjustRightInd w:val="0"/>
                    <w:spacing w:after="0" w:line="240" w:lineRule="auto"/>
                    <w:jc w:val="both"/>
                    <w:rPr>
                      <w:rFonts w:asciiTheme="minorHAnsi" w:hAnsiTheme="minorHAnsi" w:cstheme="minorHAnsi"/>
                      <w:sz w:val="18"/>
                      <w:szCs w:val="18"/>
                      <w:lang w:val="en-US"/>
                    </w:rPr>
                  </w:pPr>
                  <w:r w:rsidRPr="00846EEE">
                    <w:rPr>
                      <w:rFonts w:asciiTheme="minorHAnsi" w:hAnsiTheme="minorHAnsi" w:cstheme="minorHAnsi"/>
                      <w:sz w:val="18"/>
                      <w:szCs w:val="18"/>
                      <w:lang w:val="en-US"/>
                    </w:rPr>
                    <w:t>Operating segments are reported in a manner consistent with the internal reporting provided to the chief operating decision</w:t>
                  </w:r>
                  <w:r w:rsidR="00070168" w:rsidRPr="00846EEE">
                    <w:rPr>
                      <w:rFonts w:asciiTheme="minorHAnsi" w:hAnsiTheme="minorHAnsi" w:cstheme="minorHAnsi"/>
                      <w:sz w:val="18"/>
                      <w:szCs w:val="18"/>
                      <w:lang w:val="en-US"/>
                    </w:rPr>
                    <w:t xml:space="preserve"> </w:t>
                  </w:r>
                  <w:r w:rsidRPr="00846EEE">
                    <w:rPr>
                      <w:rFonts w:asciiTheme="minorHAnsi" w:hAnsiTheme="minorHAnsi" w:cstheme="minorHAnsi"/>
                      <w:sz w:val="18"/>
                      <w:szCs w:val="18"/>
                      <w:lang w:val="en-US"/>
                    </w:rPr>
                    <w:t xml:space="preserve">maker. </w:t>
                  </w:r>
                  <w:r w:rsidR="003425C7" w:rsidRPr="00846EEE">
                    <w:rPr>
                      <w:rFonts w:asciiTheme="minorHAnsi" w:hAnsiTheme="minorHAnsi" w:cstheme="minorHAnsi"/>
                      <w:sz w:val="18"/>
                      <w:szCs w:val="18"/>
                      <w:lang w:val="en-US"/>
                    </w:rPr>
                    <w:t xml:space="preserve">The chief operating decision maker has been identified as the Board. </w:t>
                  </w:r>
                  <w:r w:rsidRPr="00846EEE">
                    <w:rPr>
                      <w:rFonts w:asciiTheme="minorHAnsi" w:hAnsiTheme="minorHAnsi" w:cstheme="minorHAnsi"/>
                      <w:sz w:val="18"/>
                      <w:szCs w:val="18"/>
                      <w:lang w:val="en-US"/>
                    </w:rPr>
                    <w:t xml:space="preserve">The </w:t>
                  </w:r>
                  <w:r w:rsidR="003425C7" w:rsidRPr="00846EEE">
                    <w:rPr>
                      <w:rFonts w:asciiTheme="minorHAnsi" w:hAnsiTheme="minorHAnsi" w:cstheme="minorHAnsi"/>
                      <w:sz w:val="18"/>
                      <w:szCs w:val="18"/>
                      <w:lang w:val="en-US"/>
                    </w:rPr>
                    <w:t>Board</w:t>
                  </w:r>
                  <w:r w:rsidRPr="00846EEE">
                    <w:rPr>
                      <w:rFonts w:asciiTheme="minorHAnsi" w:hAnsiTheme="minorHAnsi" w:cstheme="minorHAnsi"/>
                      <w:sz w:val="18"/>
                      <w:szCs w:val="18"/>
                      <w:lang w:val="en-US"/>
                    </w:rPr>
                    <w:t xml:space="preserve"> is responsible for allocating resources and assessing </w:t>
                  </w:r>
                  <w:proofErr w:type="gramStart"/>
                  <w:r w:rsidRPr="00846EEE">
                    <w:rPr>
                      <w:rFonts w:asciiTheme="minorHAnsi" w:hAnsiTheme="minorHAnsi" w:cstheme="minorHAnsi"/>
                      <w:sz w:val="18"/>
                      <w:szCs w:val="18"/>
                      <w:lang w:val="en-US"/>
                    </w:rPr>
                    <w:t>performance</w:t>
                  </w:r>
                  <w:proofErr w:type="gramEnd"/>
                  <w:r w:rsidRPr="00846EEE">
                    <w:rPr>
                      <w:rFonts w:asciiTheme="minorHAnsi" w:hAnsiTheme="minorHAnsi" w:cstheme="minorHAnsi"/>
                      <w:sz w:val="18"/>
                      <w:szCs w:val="18"/>
                      <w:lang w:val="en-US"/>
                    </w:rPr>
                    <w:t xml:space="preserve"> of operating segments.</w:t>
                  </w:r>
                  <w:r w:rsidR="00EE1D55">
                    <w:rPr>
                      <w:rFonts w:asciiTheme="minorHAnsi" w:hAnsiTheme="minorHAnsi" w:cstheme="minorHAnsi"/>
                      <w:sz w:val="18"/>
                      <w:szCs w:val="18"/>
                      <w:lang w:val="en-US"/>
                    </w:rPr>
                    <w:t xml:space="preserve"> </w:t>
                  </w:r>
                  <w:r w:rsidRPr="00846EEE">
                    <w:rPr>
                      <w:rFonts w:asciiTheme="minorHAnsi" w:hAnsiTheme="minorHAnsi" w:cstheme="minorHAnsi"/>
                      <w:sz w:val="18"/>
                      <w:szCs w:val="18"/>
                      <w:lang w:val="en-US"/>
                    </w:rPr>
                    <w:t xml:space="preserve">The </w:t>
                  </w:r>
                  <w:r w:rsidR="006A3AD9" w:rsidRPr="00846EEE">
                    <w:rPr>
                      <w:rFonts w:asciiTheme="minorHAnsi" w:hAnsiTheme="minorHAnsi" w:cstheme="minorHAnsi"/>
                      <w:sz w:val="18"/>
                      <w:szCs w:val="18"/>
                      <w:lang w:val="en-US"/>
                    </w:rPr>
                    <w:t xml:space="preserve">Directors </w:t>
                  </w:r>
                  <w:r w:rsidRPr="00846EEE">
                    <w:rPr>
                      <w:rFonts w:asciiTheme="minorHAnsi" w:hAnsiTheme="minorHAnsi" w:cstheme="minorHAnsi"/>
                      <w:sz w:val="18"/>
                      <w:szCs w:val="18"/>
                      <w:lang w:val="en-US"/>
                    </w:rPr>
                    <w:t xml:space="preserve">consider that there are no identifiable business segments that are subject to risks and returns different to the core business. The information reported to the </w:t>
                  </w:r>
                  <w:r w:rsidR="006A3AD9" w:rsidRPr="00846EEE">
                    <w:rPr>
                      <w:rFonts w:asciiTheme="minorHAnsi" w:hAnsiTheme="minorHAnsi" w:cstheme="minorHAnsi"/>
                      <w:sz w:val="18"/>
                      <w:szCs w:val="18"/>
                      <w:lang w:val="en-US"/>
                    </w:rPr>
                    <w:t>Directors</w:t>
                  </w:r>
                  <w:r w:rsidRPr="00846EEE">
                    <w:rPr>
                      <w:rFonts w:asciiTheme="minorHAnsi" w:hAnsiTheme="minorHAnsi" w:cstheme="minorHAnsi"/>
                      <w:sz w:val="18"/>
                      <w:szCs w:val="18"/>
                      <w:lang w:val="en-US"/>
                    </w:rPr>
                    <w:t>, for the purposes of resource allocation and assessment of performance</w:t>
                  </w:r>
                  <w:r w:rsidR="006A3AD9" w:rsidRPr="00846EEE">
                    <w:rPr>
                      <w:rFonts w:asciiTheme="minorHAnsi" w:hAnsiTheme="minorHAnsi" w:cstheme="minorHAnsi"/>
                      <w:sz w:val="18"/>
                      <w:szCs w:val="18"/>
                      <w:lang w:val="en-US"/>
                    </w:rPr>
                    <w:t>,</w:t>
                  </w:r>
                  <w:r w:rsidRPr="00846EEE">
                    <w:rPr>
                      <w:rFonts w:asciiTheme="minorHAnsi" w:hAnsiTheme="minorHAnsi" w:cstheme="minorHAnsi"/>
                      <w:sz w:val="18"/>
                      <w:szCs w:val="18"/>
                      <w:lang w:val="en-US"/>
                    </w:rPr>
                    <w:t xml:space="preserve"> is based wholly on the overall activities of the Group. The Group has therefore determined that it has only one reportable segment under IFRS 8.</w:t>
                  </w:r>
                  <w:r w:rsidR="009D5E20">
                    <w:rPr>
                      <w:rFonts w:asciiTheme="minorHAnsi" w:hAnsiTheme="minorHAnsi" w:cstheme="minorHAnsi"/>
                      <w:sz w:val="18"/>
                      <w:szCs w:val="18"/>
                      <w:lang w:val="en-US"/>
                    </w:rPr>
                    <w:t xml:space="preserve"> </w:t>
                  </w:r>
                  <w:r w:rsidRPr="00846EEE">
                    <w:rPr>
                      <w:rFonts w:asciiTheme="minorHAnsi" w:hAnsiTheme="minorHAnsi" w:cstheme="minorHAnsi"/>
                      <w:sz w:val="18"/>
                      <w:szCs w:val="18"/>
                      <w:lang w:val="en-US"/>
                    </w:rPr>
                    <w:t>The results and assets for this segment can be determined by reference to the statement of comprehensive income and statement of financial position.</w:t>
                  </w:r>
                </w:p>
                <w:p w14:paraId="77232285" w14:textId="77777777" w:rsidR="00A61CA9" w:rsidRPr="00846EEE" w:rsidRDefault="00A61CA9" w:rsidP="0047121F">
                  <w:pPr>
                    <w:widowControl w:val="0"/>
                    <w:tabs>
                      <w:tab w:val="left" w:pos="464"/>
                    </w:tabs>
                    <w:autoSpaceDE w:val="0"/>
                    <w:autoSpaceDN w:val="0"/>
                    <w:adjustRightInd w:val="0"/>
                    <w:spacing w:after="0" w:line="240" w:lineRule="auto"/>
                    <w:jc w:val="both"/>
                    <w:rPr>
                      <w:rFonts w:asciiTheme="minorHAnsi" w:hAnsiTheme="minorHAnsi" w:cstheme="minorHAnsi"/>
                      <w:sz w:val="18"/>
                      <w:szCs w:val="18"/>
                      <w:lang w:val="en-US"/>
                    </w:rPr>
                  </w:pPr>
                </w:p>
                <w:p w14:paraId="32460633" w14:textId="0C990E01" w:rsidR="00AF3685" w:rsidRPr="00846EEE" w:rsidRDefault="00530B3A" w:rsidP="00846EEE">
                  <w:pPr>
                    <w:pStyle w:val="ListParagraph"/>
                    <w:widowControl w:val="0"/>
                    <w:numPr>
                      <w:ilvl w:val="0"/>
                      <w:numId w:val="1"/>
                    </w:numPr>
                    <w:tabs>
                      <w:tab w:val="left" w:pos="464"/>
                    </w:tabs>
                    <w:autoSpaceDE w:val="0"/>
                    <w:autoSpaceDN w:val="0"/>
                    <w:adjustRightInd w:val="0"/>
                    <w:spacing w:after="0" w:line="240" w:lineRule="auto"/>
                    <w:ind w:left="351" w:hanging="351"/>
                    <w:jc w:val="both"/>
                    <w:rPr>
                      <w:rFonts w:asciiTheme="minorHAnsi" w:hAnsiTheme="minorHAnsi" w:cstheme="minorHAnsi"/>
                      <w:bCs/>
                      <w:color w:val="000000"/>
                      <w:sz w:val="18"/>
                      <w:szCs w:val="18"/>
                      <w:lang w:val="en-US" w:bidi="en-US"/>
                    </w:rPr>
                  </w:pPr>
                  <w:r w:rsidRPr="00846EEE">
                    <w:rPr>
                      <w:rFonts w:asciiTheme="minorHAnsi" w:hAnsiTheme="minorHAnsi" w:cstheme="minorHAnsi"/>
                      <w:b/>
                      <w:bCs/>
                      <w:color w:val="000000"/>
                      <w:sz w:val="18"/>
                      <w:szCs w:val="18"/>
                      <w:lang w:val="en-US" w:bidi="en-US"/>
                    </w:rPr>
                    <w:t xml:space="preserve">Principal </w:t>
                  </w:r>
                  <w:r w:rsidR="004D20C3" w:rsidRPr="00846EEE">
                    <w:rPr>
                      <w:rFonts w:asciiTheme="minorHAnsi" w:hAnsiTheme="minorHAnsi" w:cstheme="minorHAnsi"/>
                      <w:b/>
                      <w:bCs/>
                      <w:color w:val="000000"/>
                      <w:sz w:val="18"/>
                      <w:szCs w:val="18"/>
                      <w:lang w:val="en-US" w:bidi="en-US"/>
                    </w:rPr>
                    <w:t>R</w:t>
                  </w:r>
                  <w:r w:rsidRPr="00846EEE">
                    <w:rPr>
                      <w:rFonts w:asciiTheme="minorHAnsi" w:hAnsiTheme="minorHAnsi" w:cstheme="minorHAnsi"/>
                      <w:b/>
                      <w:bCs/>
                      <w:color w:val="000000"/>
                      <w:sz w:val="18"/>
                      <w:szCs w:val="18"/>
                      <w:lang w:val="en-US" w:bidi="en-US"/>
                    </w:rPr>
                    <w:t xml:space="preserve">isks and </w:t>
                  </w:r>
                  <w:r w:rsidR="004D20C3" w:rsidRPr="00846EEE">
                    <w:rPr>
                      <w:rFonts w:asciiTheme="minorHAnsi" w:hAnsiTheme="minorHAnsi" w:cstheme="minorHAnsi"/>
                      <w:b/>
                      <w:bCs/>
                      <w:color w:val="000000"/>
                      <w:sz w:val="18"/>
                      <w:szCs w:val="18"/>
                      <w:lang w:val="en-US" w:bidi="en-US"/>
                    </w:rPr>
                    <w:t>U</w:t>
                  </w:r>
                  <w:r w:rsidRPr="00846EEE">
                    <w:rPr>
                      <w:rFonts w:asciiTheme="minorHAnsi" w:hAnsiTheme="minorHAnsi" w:cstheme="minorHAnsi"/>
                      <w:b/>
                      <w:bCs/>
                      <w:color w:val="000000"/>
                      <w:sz w:val="18"/>
                      <w:szCs w:val="18"/>
                      <w:lang w:val="en-US" w:bidi="en-US"/>
                    </w:rPr>
                    <w:t>ncertainties</w:t>
                  </w:r>
                </w:p>
                <w:p w14:paraId="55B66291" w14:textId="3A419118" w:rsidR="00C64F83" w:rsidRDefault="00CF3699" w:rsidP="00C64F83">
                  <w:pPr>
                    <w:pStyle w:val="xy"/>
                    <w:spacing w:before="0" w:beforeAutospacing="0" w:after="0" w:afterAutospacing="0"/>
                    <w:jc w:val="both"/>
                    <w:rPr>
                      <w:rFonts w:asciiTheme="minorHAnsi" w:hAnsiTheme="minorHAnsi" w:cstheme="minorHAnsi"/>
                      <w:bCs/>
                      <w:color w:val="000000"/>
                      <w:sz w:val="18"/>
                      <w:szCs w:val="18"/>
                      <w:lang w:val="en-US" w:bidi="en-US"/>
                    </w:rPr>
                  </w:pPr>
                  <w:r w:rsidRPr="00846EEE">
                    <w:rPr>
                      <w:rFonts w:asciiTheme="minorHAnsi" w:hAnsiTheme="minorHAnsi" w:cstheme="minorHAnsi"/>
                      <w:bCs/>
                      <w:color w:val="000000"/>
                      <w:sz w:val="18"/>
                      <w:szCs w:val="18"/>
                      <w:lang w:val="en-US" w:bidi="en-US"/>
                    </w:rPr>
                    <w:t>T</w:t>
                  </w:r>
                  <w:r w:rsidR="00113CB7" w:rsidRPr="00846EEE">
                    <w:rPr>
                      <w:rFonts w:asciiTheme="minorHAnsi" w:hAnsiTheme="minorHAnsi" w:cstheme="minorHAnsi"/>
                      <w:bCs/>
                      <w:color w:val="000000"/>
                      <w:sz w:val="18"/>
                      <w:szCs w:val="18"/>
                      <w:lang w:val="en-US" w:bidi="en-US"/>
                    </w:rPr>
                    <w:t xml:space="preserve">he </w:t>
                  </w:r>
                  <w:r w:rsidR="00BE2449" w:rsidRPr="00846EEE">
                    <w:rPr>
                      <w:rFonts w:asciiTheme="minorHAnsi" w:hAnsiTheme="minorHAnsi" w:cstheme="minorHAnsi"/>
                      <w:bCs/>
                      <w:color w:val="000000"/>
                      <w:sz w:val="18"/>
                      <w:szCs w:val="18"/>
                      <w:lang w:val="en-US" w:bidi="en-US"/>
                    </w:rPr>
                    <w:t xml:space="preserve">Directors </w:t>
                  </w:r>
                  <w:r w:rsidR="00113CB7" w:rsidRPr="00846EEE">
                    <w:rPr>
                      <w:rFonts w:asciiTheme="minorHAnsi" w:hAnsiTheme="minorHAnsi" w:cstheme="minorHAnsi"/>
                      <w:bCs/>
                      <w:color w:val="000000"/>
                      <w:sz w:val="18"/>
                      <w:szCs w:val="18"/>
                      <w:lang w:val="en-US" w:bidi="en-US"/>
                    </w:rPr>
                    <w:t>consider that the principal risks and uncertainties</w:t>
                  </w:r>
                  <w:r w:rsidR="006A3AD9" w:rsidRPr="00846EEE">
                    <w:rPr>
                      <w:rFonts w:asciiTheme="minorHAnsi" w:hAnsiTheme="minorHAnsi" w:cstheme="minorHAnsi"/>
                      <w:bCs/>
                      <w:color w:val="000000"/>
                      <w:sz w:val="18"/>
                      <w:szCs w:val="18"/>
                      <w:lang w:val="en-US" w:bidi="en-US"/>
                    </w:rPr>
                    <w:t>,</w:t>
                  </w:r>
                  <w:r w:rsidR="00113CB7" w:rsidRPr="00846EEE">
                    <w:rPr>
                      <w:rFonts w:asciiTheme="minorHAnsi" w:hAnsiTheme="minorHAnsi" w:cstheme="minorHAnsi"/>
                      <w:bCs/>
                      <w:color w:val="000000"/>
                      <w:sz w:val="18"/>
                      <w:szCs w:val="18"/>
                      <w:lang w:val="en-US" w:bidi="en-US"/>
                    </w:rPr>
                    <w:t xml:space="preserve"> which could have a material impact on the Group's performance in the remaining 6 months of the financial year</w:t>
                  </w:r>
                  <w:r w:rsidR="006A3AD9" w:rsidRPr="00846EEE">
                    <w:rPr>
                      <w:rFonts w:asciiTheme="minorHAnsi" w:hAnsiTheme="minorHAnsi" w:cstheme="minorHAnsi"/>
                      <w:bCs/>
                      <w:color w:val="000000"/>
                      <w:sz w:val="18"/>
                      <w:szCs w:val="18"/>
                      <w:lang w:val="en-US" w:bidi="en-US"/>
                    </w:rPr>
                    <w:t>,</w:t>
                  </w:r>
                  <w:r w:rsidR="00113CB7" w:rsidRPr="00846EEE">
                    <w:rPr>
                      <w:rFonts w:asciiTheme="minorHAnsi" w:hAnsiTheme="minorHAnsi" w:cstheme="minorHAnsi"/>
                      <w:bCs/>
                      <w:color w:val="000000"/>
                      <w:sz w:val="18"/>
                      <w:szCs w:val="18"/>
                      <w:lang w:val="en-US" w:bidi="en-US"/>
                    </w:rPr>
                    <w:t xml:space="preserve"> remain substantially the same as those stated </w:t>
                  </w:r>
                  <w:r w:rsidR="000176F0" w:rsidRPr="00846EEE">
                    <w:rPr>
                      <w:rFonts w:asciiTheme="minorHAnsi" w:hAnsiTheme="minorHAnsi" w:cstheme="minorHAnsi"/>
                      <w:bCs/>
                      <w:color w:val="000000"/>
                      <w:sz w:val="18"/>
                      <w:szCs w:val="18"/>
                      <w:lang w:val="en-US" w:bidi="en-US"/>
                    </w:rPr>
                    <w:t xml:space="preserve">on pages </w:t>
                  </w:r>
                  <w:r w:rsidR="00742765" w:rsidRPr="00846EEE">
                    <w:rPr>
                      <w:rFonts w:asciiTheme="minorHAnsi" w:hAnsiTheme="minorHAnsi" w:cstheme="minorHAnsi"/>
                      <w:bCs/>
                      <w:color w:val="000000"/>
                      <w:sz w:val="18"/>
                      <w:szCs w:val="18"/>
                      <w:lang w:val="en-US" w:bidi="en-US"/>
                    </w:rPr>
                    <w:t>36-37</w:t>
                  </w:r>
                  <w:r w:rsidR="000176F0" w:rsidRPr="00846EEE">
                    <w:rPr>
                      <w:rFonts w:asciiTheme="minorHAnsi" w:hAnsiTheme="minorHAnsi" w:cstheme="minorHAnsi"/>
                      <w:bCs/>
                      <w:color w:val="000000"/>
                      <w:sz w:val="18"/>
                      <w:szCs w:val="18"/>
                      <w:lang w:val="en-US" w:bidi="en-US"/>
                    </w:rPr>
                    <w:t xml:space="preserve"> of</w:t>
                  </w:r>
                  <w:r w:rsidR="00113CB7" w:rsidRPr="00846EEE">
                    <w:rPr>
                      <w:rFonts w:asciiTheme="minorHAnsi" w:hAnsiTheme="minorHAnsi" w:cstheme="minorHAnsi"/>
                      <w:bCs/>
                      <w:color w:val="000000"/>
                      <w:sz w:val="18"/>
                      <w:szCs w:val="18"/>
                      <w:lang w:val="en-US" w:bidi="en-US"/>
                    </w:rPr>
                    <w:t xml:space="preserve"> the Group's </w:t>
                  </w:r>
                  <w:r w:rsidR="00E23ECD" w:rsidRPr="00846EEE">
                    <w:rPr>
                      <w:rFonts w:asciiTheme="minorHAnsi" w:hAnsiTheme="minorHAnsi" w:cstheme="minorHAnsi"/>
                      <w:bCs/>
                      <w:color w:val="000000"/>
                      <w:sz w:val="18"/>
                      <w:szCs w:val="18"/>
                      <w:lang w:val="en-US" w:bidi="en-US"/>
                    </w:rPr>
                    <w:t>Annual Repor</w:t>
                  </w:r>
                  <w:r w:rsidR="00CB518E" w:rsidRPr="00846EEE">
                    <w:rPr>
                      <w:rFonts w:asciiTheme="minorHAnsi" w:hAnsiTheme="minorHAnsi" w:cstheme="minorHAnsi"/>
                      <w:bCs/>
                      <w:color w:val="000000"/>
                      <w:sz w:val="18"/>
                      <w:szCs w:val="18"/>
                      <w:lang w:val="en-US" w:bidi="en-US"/>
                    </w:rPr>
                    <w:t>t for the year ended 31 July 20</w:t>
                  </w:r>
                  <w:r w:rsidR="0047121F" w:rsidRPr="00846EEE">
                    <w:rPr>
                      <w:rFonts w:asciiTheme="minorHAnsi" w:hAnsiTheme="minorHAnsi" w:cstheme="minorHAnsi"/>
                      <w:bCs/>
                      <w:color w:val="000000"/>
                      <w:sz w:val="18"/>
                      <w:szCs w:val="18"/>
                      <w:lang w:val="en-US" w:bidi="en-US"/>
                    </w:rPr>
                    <w:t>22</w:t>
                  </w:r>
                  <w:r w:rsidR="000176F0" w:rsidRPr="00846EEE">
                    <w:rPr>
                      <w:rFonts w:asciiTheme="minorHAnsi" w:hAnsiTheme="minorHAnsi" w:cstheme="minorHAnsi"/>
                      <w:bCs/>
                      <w:color w:val="000000"/>
                      <w:sz w:val="18"/>
                      <w:szCs w:val="18"/>
                      <w:lang w:val="en-US" w:bidi="en-US"/>
                    </w:rPr>
                    <w:t>,</w:t>
                  </w:r>
                  <w:r w:rsidR="00113CB7" w:rsidRPr="00846EEE">
                    <w:rPr>
                      <w:rFonts w:asciiTheme="minorHAnsi" w:hAnsiTheme="minorHAnsi" w:cstheme="minorHAnsi"/>
                      <w:bCs/>
                      <w:color w:val="000000"/>
                      <w:sz w:val="18"/>
                      <w:szCs w:val="18"/>
                      <w:lang w:val="en-US" w:bidi="en-US"/>
                    </w:rPr>
                    <w:t xml:space="preserve"> which is available on </w:t>
                  </w:r>
                  <w:r w:rsidR="00695EA6" w:rsidRPr="00846EEE">
                    <w:rPr>
                      <w:rFonts w:asciiTheme="minorHAnsi" w:hAnsiTheme="minorHAnsi" w:cstheme="minorHAnsi"/>
                      <w:bCs/>
                      <w:color w:val="000000"/>
                      <w:sz w:val="18"/>
                      <w:szCs w:val="18"/>
                      <w:lang w:val="en-US" w:bidi="en-US"/>
                    </w:rPr>
                    <w:t>the G</w:t>
                  </w:r>
                  <w:r w:rsidR="007F29BD" w:rsidRPr="00846EEE">
                    <w:rPr>
                      <w:rFonts w:asciiTheme="minorHAnsi" w:hAnsiTheme="minorHAnsi" w:cstheme="minorHAnsi"/>
                      <w:bCs/>
                      <w:color w:val="000000"/>
                      <w:sz w:val="18"/>
                      <w:szCs w:val="18"/>
                      <w:lang w:val="en-US" w:bidi="en-US"/>
                    </w:rPr>
                    <w:t>roup’s</w:t>
                  </w:r>
                  <w:r w:rsidR="00113CB7" w:rsidRPr="00846EEE">
                    <w:rPr>
                      <w:rFonts w:asciiTheme="minorHAnsi" w:hAnsiTheme="minorHAnsi" w:cstheme="minorHAnsi"/>
                      <w:bCs/>
                      <w:color w:val="000000"/>
                      <w:sz w:val="18"/>
                      <w:szCs w:val="18"/>
                      <w:lang w:val="en-US" w:bidi="en-US"/>
                    </w:rPr>
                    <w:t xml:space="preserve"> website, </w:t>
                  </w:r>
                  <w:r w:rsidR="00D20C20" w:rsidRPr="00846EEE">
                    <w:rPr>
                      <w:rFonts w:asciiTheme="minorHAnsi" w:hAnsiTheme="minorHAnsi" w:cstheme="minorHAnsi"/>
                      <w:bCs/>
                      <w:color w:val="000000"/>
                      <w:sz w:val="18"/>
                      <w:szCs w:val="18"/>
                      <w:u w:val="single"/>
                      <w:lang w:val="en-US" w:bidi="en-US"/>
                    </w:rPr>
                    <w:t>www.upgs.com</w:t>
                  </w:r>
                  <w:r w:rsidR="00113CB7" w:rsidRPr="00846EEE">
                    <w:rPr>
                      <w:rFonts w:asciiTheme="minorHAnsi" w:hAnsiTheme="minorHAnsi" w:cstheme="minorHAnsi"/>
                      <w:bCs/>
                      <w:color w:val="000000"/>
                      <w:sz w:val="18"/>
                      <w:szCs w:val="18"/>
                      <w:lang w:val="en-US" w:bidi="en-US"/>
                    </w:rPr>
                    <w:t>.</w:t>
                  </w:r>
                  <w:r w:rsidR="004F149F" w:rsidRPr="00846EEE">
                    <w:rPr>
                      <w:rFonts w:asciiTheme="minorHAnsi" w:hAnsiTheme="minorHAnsi" w:cstheme="minorHAnsi"/>
                      <w:bCs/>
                      <w:color w:val="000000"/>
                      <w:sz w:val="18"/>
                      <w:szCs w:val="18"/>
                      <w:lang w:val="en-US" w:bidi="en-US"/>
                    </w:rPr>
                    <w:t xml:space="preserve"> </w:t>
                  </w:r>
                  <w:r w:rsidR="00C64F83">
                    <w:rPr>
                      <w:rFonts w:asciiTheme="minorHAnsi" w:hAnsiTheme="minorHAnsi" w:cstheme="minorHAnsi"/>
                      <w:bCs/>
                      <w:color w:val="000000"/>
                      <w:sz w:val="18"/>
                      <w:szCs w:val="18"/>
                      <w:lang w:val="en-US" w:bidi="en-US"/>
                    </w:rPr>
                    <w:t xml:space="preserve">Below is a summary of those risks: </w:t>
                  </w:r>
                </w:p>
                <w:p w14:paraId="006823D5" w14:textId="77777777" w:rsidR="006217AE" w:rsidRDefault="006217AE" w:rsidP="00C64F83">
                  <w:pPr>
                    <w:pStyle w:val="xy"/>
                    <w:spacing w:before="0" w:beforeAutospacing="0" w:after="0" w:afterAutospacing="0"/>
                    <w:jc w:val="both"/>
                    <w:rPr>
                      <w:rFonts w:asciiTheme="minorHAnsi" w:hAnsiTheme="minorHAnsi" w:cstheme="minorHAnsi"/>
                      <w:bCs/>
                      <w:color w:val="000000"/>
                      <w:sz w:val="18"/>
                      <w:szCs w:val="18"/>
                      <w:lang w:val="en-US" w:bidi="en-US"/>
                    </w:rPr>
                  </w:pPr>
                </w:p>
                <w:p w14:paraId="50F04016" w14:textId="77777777" w:rsidR="00C64F83" w:rsidRPr="00C77A8B" w:rsidRDefault="00C64F83" w:rsidP="00C64F83">
                  <w:pPr>
                    <w:pStyle w:val="ListParagraph"/>
                    <w:numPr>
                      <w:ilvl w:val="0"/>
                      <w:numId w:val="64"/>
                    </w:numPr>
                    <w:spacing w:after="0" w:line="240" w:lineRule="auto"/>
                    <w:rPr>
                      <w:rFonts w:asciiTheme="minorHAnsi" w:hAnsiTheme="minorHAnsi" w:cstheme="minorHAnsi"/>
                      <w:bCs/>
                      <w:color w:val="000000"/>
                      <w:sz w:val="18"/>
                      <w:szCs w:val="18"/>
                      <w:lang w:val="en-US" w:bidi="en-US"/>
                    </w:rPr>
                  </w:pPr>
                  <w:r w:rsidRPr="00C77A8B">
                    <w:rPr>
                      <w:rFonts w:asciiTheme="minorHAnsi" w:hAnsiTheme="minorHAnsi" w:cstheme="minorHAnsi"/>
                      <w:bCs/>
                      <w:color w:val="000000"/>
                      <w:sz w:val="18"/>
                      <w:szCs w:val="18"/>
                      <w:lang w:val="en-US" w:bidi="en-US"/>
                    </w:rPr>
                    <w:t xml:space="preserve">Macroeconomic factors: Macroeconomic trends affecting consumer confidence and reducing non-food spending such as inflationary pressures, higher taxation, and higher interest rates, could affect retail demand. </w:t>
                  </w:r>
                </w:p>
                <w:p w14:paraId="2BD76143" w14:textId="77777777" w:rsidR="00C64F83" w:rsidRPr="00C77A8B" w:rsidRDefault="00C64F83" w:rsidP="00C64F83">
                  <w:pPr>
                    <w:pStyle w:val="ListParagraph"/>
                    <w:numPr>
                      <w:ilvl w:val="0"/>
                      <w:numId w:val="64"/>
                    </w:numPr>
                    <w:spacing w:after="0" w:line="240" w:lineRule="auto"/>
                    <w:rPr>
                      <w:rFonts w:asciiTheme="minorHAnsi" w:hAnsiTheme="minorHAnsi" w:cstheme="minorHAnsi"/>
                      <w:bCs/>
                      <w:color w:val="000000"/>
                      <w:sz w:val="18"/>
                      <w:szCs w:val="18"/>
                      <w:lang w:val="en-US" w:bidi="en-US"/>
                    </w:rPr>
                  </w:pPr>
                  <w:r w:rsidRPr="00C77A8B">
                    <w:rPr>
                      <w:rFonts w:asciiTheme="minorHAnsi" w:hAnsiTheme="minorHAnsi" w:cstheme="minorHAnsi"/>
                      <w:bCs/>
                      <w:color w:val="000000"/>
                      <w:sz w:val="18"/>
                      <w:szCs w:val="18"/>
                      <w:lang w:val="en-US" w:bidi="en-US"/>
                    </w:rPr>
                    <w:t xml:space="preserve">Sourcing:  A major loss of continuity in the supply of goods for resale could adversely affect the Group’s revenues.  Heavy reliance on China as a source of products. Any deterioration in, or changes to political, </w:t>
                  </w:r>
                  <w:proofErr w:type="gramStart"/>
                  <w:r w:rsidRPr="00C77A8B">
                    <w:rPr>
                      <w:rFonts w:asciiTheme="minorHAnsi" w:hAnsiTheme="minorHAnsi" w:cstheme="minorHAnsi"/>
                      <w:bCs/>
                      <w:color w:val="000000"/>
                      <w:sz w:val="18"/>
                      <w:szCs w:val="18"/>
                      <w:lang w:val="en-US" w:bidi="en-US"/>
                    </w:rPr>
                    <w:t>economic</w:t>
                  </w:r>
                  <w:proofErr w:type="gramEnd"/>
                  <w:r w:rsidRPr="00C77A8B">
                    <w:rPr>
                      <w:rFonts w:asciiTheme="minorHAnsi" w:hAnsiTheme="minorHAnsi" w:cstheme="minorHAnsi"/>
                      <w:bCs/>
                      <w:color w:val="000000"/>
                      <w:sz w:val="18"/>
                      <w:szCs w:val="18"/>
                      <w:lang w:val="en-US" w:bidi="en-US"/>
                    </w:rPr>
                    <w:t xml:space="preserve"> or social conditions in China could disrupt the supply of goods or result in higher product cost prices. </w:t>
                  </w:r>
                </w:p>
                <w:p w14:paraId="00BB15F2" w14:textId="77777777" w:rsidR="00C64F83" w:rsidRPr="00C77A8B" w:rsidRDefault="00C64F83" w:rsidP="00C64F83">
                  <w:pPr>
                    <w:pStyle w:val="ListParagraph"/>
                    <w:numPr>
                      <w:ilvl w:val="0"/>
                      <w:numId w:val="64"/>
                    </w:numPr>
                    <w:spacing w:after="0" w:line="240" w:lineRule="auto"/>
                    <w:rPr>
                      <w:rFonts w:asciiTheme="minorHAnsi" w:hAnsiTheme="minorHAnsi" w:cstheme="minorHAnsi"/>
                      <w:bCs/>
                      <w:color w:val="000000"/>
                      <w:sz w:val="18"/>
                      <w:szCs w:val="18"/>
                      <w:lang w:val="en-US" w:bidi="en-US"/>
                    </w:rPr>
                  </w:pPr>
                  <w:r w:rsidRPr="00C77A8B">
                    <w:rPr>
                      <w:rFonts w:asciiTheme="minorHAnsi" w:hAnsiTheme="minorHAnsi" w:cstheme="minorHAnsi"/>
                      <w:bCs/>
                      <w:color w:val="000000"/>
                      <w:sz w:val="18"/>
                      <w:szCs w:val="18"/>
                      <w:lang w:val="en-US" w:bidi="en-US"/>
                    </w:rPr>
                    <w:t xml:space="preserve">Supply chain management: Inefficient stock management could result in overstocking, which may adversely affect working capital. Conversely, </w:t>
                  </w:r>
                  <w:proofErr w:type="gramStart"/>
                  <w:r w:rsidRPr="00C77A8B">
                    <w:rPr>
                      <w:rFonts w:asciiTheme="minorHAnsi" w:hAnsiTheme="minorHAnsi" w:cstheme="minorHAnsi"/>
                      <w:bCs/>
                      <w:color w:val="000000"/>
                      <w:sz w:val="18"/>
                      <w:szCs w:val="18"/>
                      <w:lang w:val="en-US" w:bidi="en-US"/>
                    </w:rPr>
                    <w:t>understocking,</w:t>
                  </w:r>
                  <w:proofErr w:type="gramEnd"/>
                  <w:r w:rsidRPr="00C77A8B">
                    <w:rPr>
                      <w:rFonts w:asciiTheme="minorHAnsi" w:hAnsiTheme="minorHAnsi" w:cstheme="minorHAnsi"/>
                      <w:bCs/>
                      <w:color w:val="000000"/>
                      <w:sz w:val="18"/>
                      <w:szCs w:val="18"/>
                      <w:lang w:val="en-US" w:bidi="en-US"/>
                    </w:rPr>
                    <w:t xml:space="preserve"> could limit the Group’s ability to </w:t>
                  </w:r>
                  <w:proofErr w:type="spellStart"/>
                  <w:r w:rsidRPr="00C77A8B">
                    <w:rPr>
                      <w:rFonts w:asciiTheme="minorHAnsi" w:hAnsiTheme="minorHAnsi" w:cstheme="minorHAnsi"/>
                      <w:bCs/>
                      <w:color w:val="000000"/>
                      <w:sz w:val="18"/>
                      <w:szCs w:val="18"/>
                      <w:lang w:val="en-US" w:bidi="en-US"/>
                    </w:rPr>
                    <w:t>maximise</w:t>
                  </w:r>
                  <w:proofErr w:type="spellEnd"/>
                  <w:r w:rsidRPr="00C77A8B">
                    <w:rPr>
                      <w:rFonts w:asciiTheme="minorHAnsi" w:hAnsiTheme="minorHAnsi" w:cstheme="minorHAnsi"/>
                      <w:bCs/>
                      <w:color w:val="000000"/>
                      <w:sz w:val="18"/>
                      <w:szCs w:val="18"/>
                      <w:lang w:val="en-US" w:bidi="en-US"/>
                    </w:rPr>
                    <w:t xml:space="preserve"> revenue opportunities. </w:t>
                  </w:r>
                  <w:r w:rsidRPr="00C77A8B">
                    <w:rPr>
                      <w:rFonts w:asciiTheme="minorHAnsi" w:hAnsiTheme="minorHAnsi" w:cstheme="minorHAnsi"/>
                      <w:bCs/>
                      <w:color w:val="000000"/>
                      <w:sz w:val="18"/>
                      <w:szCs w:val="18"/>
                      <w:lang w:val="en-US" w:bidi="en-US"/>
                    </w:rPr>
                    <w:lastRenderedPageBreak/>
                    <w:t xml:space="preserve">Although there has been an abatement in the recent shipping and haulage capacity issues, any return in these issues could affect the availability and the costs of shipping. </w:t>
                  </w:r>
                </w:p>
                <w:p w14:paraId="244586C9" w14:textId="08652AF3" w:rsidR="00C64F83" w:rsidRPr="00C77A8B" w:rsidRDefault="00C64F83" w:rsidP="00C64F83">
                  <w:pPr>
                    <w:pStyle w:val="ListParagraph"/>
                    <w:numPr>
                      <w:ilvl w:val="0"/>
                      <w:numId w:val="64"/>
                    </w:numPr>
                    <w:spacing w:after="0" w:line="240" w:lineRule="auto"/>
                    <w:rPr>
                      <w:rFonts w:asciiTheme="minorHAnsi" w:hAnsiTheme="minorHAnsi" w:cstheme="minorHAnsi"/>
                      <w:bCs/>
                      <w:color w:val="000000"/>
                      <w:sz w:val="18"/>
                      <w:szCs w:val="18"/>
                      <w:lang w:val="en-US" w:bidi="en-US"/>
                    </w:rPr>
                  </w:pPr>
                  <w:r w:rsidRPr="00C77A8B">
                    <w:rPr>
                      <w:rFonts w:asciiTheme="minorHAnsi" w:hAnsiTheme="minorHAnsi" w:cstheme="minorHAnsi"/>
                      <w:bCs/>
                      <w:color w:val="000000"/>
                      <w:sz w:val="18"/>
                      <w:szCs w:val="18"/>
                      <w:lang w:val="en-US" w:bidi="en-US"/>
                    </w:rPr>
                    <w:t>Margin pressure:</w:t>
                  </w:r>
                  <w:r w:rsidR="001F1219">
                    <w:rPr>
                      <w:rFonts w:asciiTheme="minorHAnsi" w:hAnsiTheme="minorHAnsi" w:cstheme="minorHAnsi"/>
                      <w:bCs/>
                      <w:color w:val="000000"/>
                      <w:sz w:val="18"/>
                      <w:szCs w:val="18"/>
                      <w:lang w:val="en-US" w:bidi="en-US"/>
                    </w:rPr>
                    <w:t xml:space="preserve"> </w:t>
                  </w:r>
                  <w:r w:rsidRPr="00C77A8B">
                    <w:rPr>
                      <w:rFonts w:asciiTheme="minorHAnsi" w:hAnsiTheme="minorHAnsi" w:cstheme="minorHAnsi"/>
                      <w:bCs/>
                      <w:color w:val="000000"/>
                      <w:sz w:val="18"/>
                      <w:szCs w:val="18"/>
                      <w:lang w:val="en-US" w:bidi="en-US"/>
                    </w:rPr>
                    <w:t xml:space="preserve">A tough retail environment, increased shipping and road haulage costs and the impact of weakened Sterling could put pressure on gross margin. </w:t>
                  </w:r>
                </w:p>
                <w:p w14:paraId="1A508465" w14:textId="77777777" w:rsidR="00C64F83" w:rsidRPr="00C77A8B" w:rsidRDefault="00C64F83" w:rsidP="00C64F83">
                  <w:pPr>
                    <w:pStyle w:val="ListParagraph"/>
                    <w:numPr>
                      <w:ilvl w:val="0"/>
                      <w:numId w:val="64"/>
                    </w:numPr>
                    <w:spacing w:after="0" w:line="240" w:lineRule="auto"/>
                    <w:rPr>
                      <w:rFonts w:asciiTheme="minorHAnsi" w:hAnsiTheme="minorHAnsi" w:cstheme="minorHAnsi"/>
                      <w:bCs/>
                      <w:color w:val="000000"/>
                      <w:sz w:val="18"/>
                      <w:szCs w:val="18"/>
                      <w:lang w:val="en-US" w:bidi="en-US"/>
                    </w:rPr>
                  </w:pPr>
                  <w:r w:rsidRPr="00C77A8B">
                    <w:rPr>
                      <w:rFonts w:asciiTheme="minorHAnsi" w:hAnsiTheme="minorHAnsi" w:cstheme="minorHAnsi"/>
                      <w:bCs/>
                      <w:color w:val="000000"/>
                      <w:sz w:val="18"/>
                      <w:szCs w:val="18"/>
                      <w:lang w:val="en-US" w:bidi="en-US"/>
                    </w:rPr>
                    <w:t xml:space="preserve">Protection of brands: Failure to develop and enhance the product range of our brands could result in </w:t>
                  </w:r>
                  <w:proofErr w:type="gramStart"/>
                  <w:r w:rsidRPr="00C77A8B">
                    <w:rPr>
                      <w:rFonts w:asciiTheme="minorHAnsi" w:hAnsiTheme="minorHAnsi" w:cstheme="minorHAnsi"/>
                      <w:bCs/>
                      <w:color w:val="000000"/>
                      <w:sz w:val="18"/>
                      <w:szCs w:val="18"/>
                      <w:lang w:val="en-US" w:bidi="en-US"/>
                    </w:rPr>
                    <w:t>loss</w:t>
                  </w:r>
                  <w:proofErr w:type="gramEnd"/>
                  <w:r w:rsidRPr="00C77A8B">
                    <w:rPr>
                      <w:rFonts w:asciiTheme="minorHAnsi" w:hAnsiTheme="minorHAnsi" w:cstheme="minorHAnsi"/>
                      <w:bCs/>
                      <w:color w:val="000000"/>
                      <w:sz w:val="18"/>
                      <w:szCs w:val="18"/>
                      <w:lang w:val="en-US" w:bidi="en-US"/>
                    </w:rPr>
                    <w:t xml:space="preserve"> of our competitive advantage, which could impact on the Group’s turnover. Failure to develop or acquire new brands could restrict growth, given the Group’s brand-led strategy. Failure to renew or delays in renewing </w:t>
                  </w:r>
                  <w:proofErr w:type="spellStart"/>
                  <w:r w:rsidRPr="00C77A8B">
                    <w:rPr>
                      <w:rFonts w:asciiTheme="minorHAnsi" w:hAnsiTheme="minorHAnsi" w:cstheme="minorHAnsi"/>
                      <w:bCs/>
                      <w:color w:val="000000"/>
                      <w:sz w:val="18"/>
                      <w:szCs w:val="18"/>
                      <w:lang w:val="en-US" w:bidi="en-US"/>
                    </w:rPr>
                    <w:t>licences</w:t>
                  </w:r>
                  <w:proofErr w:type="spellEnd"/>
                  <w:r w:rsidRPr="00C77A8B">
                    <w:rPr>
                      <w:rFonts w:asciiTheme="minorHAnsi" w:hAnsiTheme="minorHAnsi" w:cstheme="minorHAnsi"/>
                      <w:bCs/>
                      <w:color w:val="000000"/>
                      <w:sz w:val="18"/>
                      <w:szCs w:val="18"/>
                      <w:lang w:val="en-US" w:bidi="en-US"/>
                    </w:rPr>
                    <w:t xml:space="preserve"> for key brands could impact turnover.</w:t>
                  </w:r>
                </w:p>
                <w:p w14:paraId="1DF3DE96" w14:textId="77777777" w:rsidR="00C64F83" w:rsidRPr="00C77A8B" w:rsidRDefault="00C64F83" w:rsidP="00C64F83">
                  <w:pPr>
                    <w:pStyle w:val="ListParagraph"/>
                    <w:numPr>
                      <w:ilvl w:val="0"/>
                      <w:numId w:val="64"/>
                    </w:numPr>
                    <w:spacing w:after="0" w:line="240" w:lineRule="auto"/>
                    <w:rPr>
                      <w:rFonts w:asciiTheme="minorHAnsi" w:hAnsiTheme="minorHAnsi" w:cstheme="minorHAnsi"/>
                      <w:bCs/>
                      <w:color w:val="000000"/>
                      <w:sz w:val="18"/>
                      <w:szCs w:val="18"/>
                      <w:lang w:val="en-US" w:bidi="en-US"/>
                    </w:rPr>
                  </w:pPr>
                  <w:r w:rsidRPr="00C77A8B">
                    <w:rPr>
                      <w:rFonts w:asciiTheme="minorHAnsi" w:hAnsiTheme="minorHAnsi" w:cstheme="minorHAnsi"/>
                      <w:bCs/>
                      <w:color w:val="000000"/>
                      <w:sz w:val="18"/>
                      <w:szCs w:val="18"/>
                      <w:lang w:val="en-US" w:bidi="en-US"/>
                    </w:rPr>
                    <w:t xml:space="preserve">Climate Change &amp; Environmental: Climate change is a widely acknowledged global emergency, with the need to act faster becoming evident. Managing the greenhouse gas emissions associated with our supply chain is critical to reducing our impact on climate change. The physical and financial impacts of climate change are already being felt and are set to intensify. </w:t>
                  </w:r>
                </w:p>
                <w:p w14:paraId="2FAEF20E" w14:textId="77777777" w:rsidR="00C64F83" w:rsidRPr="00C77A8B" w:rsidRDefault="00C64F83" w:rsidP="00C64F83">
                  <w:pPr>
                    <w:pStyle w:val="ListParagraph"/>
                    <w:numPr>
                      <w:ilvl w:val="0"/>
                      <w:numId w:val="64"/>
                    </w:numPr>
                    <w:spacing w:after="0" w:line="240" w:lineRule="auto"/>
                    <w:rPr>
                      <w:rFonts w:asciiTheme="minorHAnsi" w:hAnsiTheme="minorHAnsi" w:cstheme="minorHAnsi"/>
                      <w:bCs/>
                      <w:color w:val="000000"/>
                      <w:sz w:val="18"/>
                      <w:szCs w:val="18"/>
                      <w:lang w:val="en-US" w:bidi="en-US"/>
                    </w:rPr>
                  </w:pPr>
                  <w:r w:rsidRPr="00C77A8B">
                    <w:rPr>
                      <w:rFonts w:asciiTheme="minorHAnsi" w:hAnsiTheme="minorHAnsi" w:cstheme="minorHAnsi"/>
                      <w:bCs/>
                      <w:color w:val="000000"/>
                      <w:sz w:val="18"/>
                      <w:szCs w:val="18"/>
                      <w:lang w:val="en-US" w:bidi="en-US"/>
                    </w:rPr>
                    <w:t xml:space="preserve">Legal and regulatory: Failure to comply with legal and regulatory requirements, including environmental and climate change developments, both in the UK and in other countries in which the Group operates, could result in fines or adverse impact on the Group’s reputation. </w:t>
                  </w:r>
                </w:p>
                <w:p w14:paraId="6588BED7" w14:textId="77777777" w:rsidR="00C64F83" w:rsidRPr="00C77A8B" w:rsidRDefault="00C64F83" w:rsidP="00C64F83">
                  <w:pPr>
                    <w:pStyle w:val="ListParagraph"/>
                    <w:numPr>
                      <w:ilvl w:val="0"/>
                      <w:numId w:val="64"/>
                    </w:numPr>
                    <w:spacing w:after="0" w:line="240" w:lineRule="auto"/>
                    <w:jc w:val="both"/>
                    <w:rPr>
                      <w:rFonts w:asciiTheme="minorHAnsi" w:hAnsiTheme="minorHAnsi" w:cstheme="minorHAnsi"/>
                      <w:bCs/>
                      <w:color w:val="000000"/>
                      <w:sz w:val="18"/>
                      <w:szCs w:val="18"/>
                      <w:lang w:val="en-US" w:bidi="en-US"/>
                    </w:rPr>
                  </w:pPr>
                  <w:r w:rsidRPr="00C77A8B">
                    <w:rPr>
                      <w:rFonts w:asciiTheme="minorHAnsi" w:hAnsiTheme="minorHAnsi" w:cstheme="minorHAnsi"/>
                      <w:bCs/>
                      <w:color w:val="000000"/>
                      <w:sz w:val="18"/>
                      <w:szCs w:val="18"/>
                      <w:lang w:val="en-US" w:bidi="en-US"/>
                    </w:rPr>
                    <w:t xml:space="preserve">Human resources: Failure to attract and retain high-quality individuals, both in the UK and internationally, could impact on the delivery of the Group’s strategy. </w:t>
                  </w:r>
                </w:p>
                <w:p w14:paraId="4A0E25B2" w14:textId="77777777" w:rsidR="00C64F83" w:rsidRPr="00C77A8B" w:rsidRDefault="00C64F83" w:rsidP="00C64F83">
                  <w:pPr>
                    <w:pStyle w:val="ListParagraph"/>
                    <w:numPr>
                      <w:ilvl w:val="0"/>
                      <w:numId w:val="64"/>
                    </w:numPr>
                    <w:spacing w:after="0" w:line="240" w:lineRule="auto"/>
                    <w:jc w:val="both"/>
                    <w:rPr>
                      <w:rFonts w:asciiTheme="minorHAnsi" w:hAnsiTheme="minorHAnsi" w:cstheme="minorHAnsi"/>
                      <w:bCs/>
                      <w:color w:val="000000"/>
                      <w:sz w:val="18"/>
                      <w:szCs w:val="18"/>
                      <w:lang w:val="en-US" w:bidi="en-US"/>
                    </w:rPr>
                  </w:pPr>
                  <w:r w:rsidRPr="00C77A8B">
                    <w:rPr>
                      <w:rFonts w:asciiTheme="minorHAnsi" w:hAnsiTheme="minorHAnsi" w:cstheme="minorHAnsi"/>
                      <w:bCs/>
                      <w:color w:val="000000"/>
                      <w:sz w:val="18"/>
                      <w:szCs w:val="18"/>
                      <w:lang w:val="en-US" w:bidi="en-US"/>
                    </w:rPr>
                    <w:t xml:space="preserve">Cyber security: Risk of </w:t>
                  </w:r>
                  <w:proofErr w:type="spellStart"/>
                  <w:r w:rsidRPr="00C77A8B">
                    <w:rPr>
                      <w:rFonts w:asciiTheme="minorHAnsi" w:hAnsiTheme="minorHAnsi" w:cstheme="minorHAnsi"/>
                      <w:bCs/>
                      <w:color w:val="000000"/>
                      <w:sz w:val="18"/>
                      <w:szCs w:val="18"/>
                      <w:lang w:val="en-US" w:bidi="en-US"/>
                    </w:rPr>
                    <w:t>cyber crime</w:t>
                  </w:r>
                  <w:proofErr w:type="spellEnd"/>
                  <w:r w:rsidRPr="00C77A8B">
                    <w:rPr>
                      <w:rFonts w:asciiTheme="minorHAnsi" w:hAnsiTheme="minorHAnsi" w:cstheme="minorHAnsi"/>
                      <w:bCs/>
                      <w:color w:val="000000"/>
                      <w:sz w:val="18"/>
                      <w:szCs w:val="18"/>
                      <w:lang w:val="en-US" w:bidi="en-US"/>
                    </w:rPr>
                    <w:t xml:space="preserve"> with the potential to cause operational disruption, loss or theft of information, inability to operate effectively, loss of online sales or reputational damage.</w:t>
                  </w:r>
                </w:p>
                <w:p w14:paraId="30B65E78" w14:textId="1BC8E8E5" w:rsidR="00774388" w:rsidRPr="00846EEE" w:rsidRDefault="00774388" w:rsidP="0047121F">
                  <w:pPr>
                    <w:pStyle w:val="xy"/>
                    <w:spacing w:before="0" w:beforeAutospacing="0" w:after="0" w:afterAutospacing="0"/>
                    <w:jc w:val="both"/>
                    <w:rPr>
                      <w:rFonts w:asciiTheme="minorHAnsi" w:hAnsiTheme="minorHAnsi" w:cstheme="minorHAnsi"/>
                      <w:bCs/>
                      <w:color w:val="000000"/>
                      <w:sz w:val="18"/>
                      <w:szCs w:val="18"/>
                      <w:lang w:val="en-US" w:bidi="en-US"/>
                    </w:rPr>
                  </w:pPr>
                </w:p>
                <w:p w14:paraId="5F52F55D" w14:textId="3EDB3E71" w:rsidR="00E628C4" w:rsidRDefault="00E628C4" w:rsidP="0047121F">
                  <w:pPr>
                    <w:pStyle w:val="xy"/>
                    <w:spacing w:before="0" w:beforeAutospacing="0" w:after="0" w:afterAutospacing="0"/>
                    <w:jc w:val="both"/>
                    <w:rPr>
                      <w:rFonts w:asciiTheme="minorHAnsi" w:hAnsiTheme="minorHAnsi" w:cstheme="minorHAnsi"/>
                      <w:bCs/>
                      <w:color w:val="000000"/>
                      <w:sz w:val="18"/>
                      <w:szCs w:val="18"/>
                      <w:lang w:val="en-US" w:bidi="en-US"/>
                    </w:rPr>
                  </w:pPr>
                </w:p>
                <w:p w14:paraId="0C9BCD7A" w14:textId="77777777" w:rsidR="005A3382" w:rsidRPr="00846EEE" w:rsidRDefault="005A3382" w:rsidP="0047121F">
                  <w:pPr>
                    <w:pStyle w:val="ListParagraph"/>
                    <w:widowControl w:val="0"/>
                    <w:numPr>
                      <w:ilvl w:val="0"/>
                      <w:numId w:val="1"/>
                    </w:numPr>
                    <w:autoSpaceDE w:val="0"/>
                    <w:autoSpaceDN w:val="0"/>
                    <w:adjustRightInd w:val="0"/>
                    <w:spacing w:after="0" w:line="240" w:lineRule="auto"/>
                    <w:ind w:left="351" w:hanging="351"/>
                    <w:jc w:val="both"/>
                    <w:rPr>
                      <w:rFonts w:asciiTheme="minorHAnsi" w:hAnsiTheme="minorHAnsi" w:cstheme="minorHAnsi"/>
                      <w:b/>
                      <w:bCs/>
                      <w:color w:val="000000"/>
                      <w:sz w:val="18"/>
                      <w:szCs w:val="18"/>
                      <w:lang w:val="en-US" w:bidi="en-US"/>
                    </w:rPr>
                  </w:pPr>
                  <w:r w:rsidRPr="00846EEE">
                    <w:rPr>
                      <w:rFonts w:asciiTheme="minorHAnsi" w:hAnsiTheme="minorHAnsi" w:cstheme="minorHAnsi"/>
                      <w:b/>
                      <w:bCs/>
                      <w:color w:val="000000"/>
                      <w:sz w:val="18"/>
                      <w:szCs w:val="18"/>
                      <w:lang w:val="en-US" w:bidi="en-US"/>
                    </w:rPr>
                    <w:t xml:space="preserve">Financial </w:t>
                  </w:r>
                  <w:r w:rsidR="004D20C3" w:rsidRPr="00846EEE">
                    <w:rPr>
                      <w:rFonts w:asciiTheme="minorHAnsi" w:hAnsiTheme="minorHAnsi" w:cstheme="minorHAnsi"/>
                      <w:b/>
                      <w:bCs/>
                      <w:color w:val="000000"/>
                      <w:sz w:val="18"/>
                      <w:szCs w:val="18"/>
                      <w:lang w:val="en-US" w:bidi="en-US"/>
                    </w:rPr>
                    <w:t>I</w:t>
                  </w:r>
                  <w:r w:rsidRPr="00846EEE">
                    <w:rPr>
                      <w:rFonts w:asciiTheme="minorHAnsi" w:hAnsiTheme="minorHAnsi" w:cstheme="minorHAnsi"/>
                      <w:b/>
                      <w:bCs/>
                      <w:color w:val="000000"/>
                      <w:sz w:val="18"/>
                      <w:szCs w:val="18"/>
                      <w:lang w:val="en-US" w:bidi="en-US"/>
                    </w:rPr>
                    <w:t>nstruments</w:t>
                  </w:r>
                </w:p>
                <w:p w14:paraId="502668E2" w14:textId="77777777" w:rsidR="00A21848" w:rsidRPr="00846EEE" w:rsidRDefault="00A21848" w:rsidP="0047121F">
                  <w:pPr>
                    <w:widowControl w:val="0"/>
                    <w:autoSpaceDE w:val="0"/>
                    <w:autoSpaceDN w:val="0"/>
                    <w:adjustRightInd w:val="0"/>
                    <w:spacing w:after="0" w:line="240" w:lineRule="auto"/>
                    <w:jc w:val="both"/>
                    <w:rPr>
                      <w:rFonts w:asciiTheme="minorHAnsi" w:hAnsiTheme="minorHAnsi" w:cstheme="minorHAnsi"/>
                      <w:b/>
                      <w:bCs/>
                      <w:color w:val="000000"/>
                      <w:sz w:val="18"/>
                      <w:szCs w:val="18"/>
                      <w:lang w:val="en-US" w:bidi="en-US"/>
                    </w:rPr>
                  </w:pPr>
                </w:p>
                <w:p w14:paraId="39EB137F" w14:textId="05B0A6B6" w:rsidR="005A3382" w:rsidRPr="00846EEE" w:rsidRDefault="00A21848" w:rsidP="00846EEE">
                  <w:pPr>
                    <w:pStyle w:val="xy"/>
                    <w:spacing w:before="0" w:beforeAutospacing="0" w:after="0" w:afterAutospacing="0"/>
                    <w:jc w:val="both"/>
                    <w:rPr>
                      <w:rFonts w:asciiTheme="minorHAnsi" w:hAnsiTheme="minorHAnsi" w:cstheme="minorHAnsi"/>
                      <w:bCs/>
                      <w:color w:val="000000"/>
                      <w:sz w:val="18"/>
                      <w:szCs w:val="18"/>
                      <w:lang w:val="en-US" w:bidi="en-US"/>
                    </w:rPr>
                  </w:pPr>
                  <w:r w:rsidRPr="00846EEE">
                    <w:rPr>
                      <w:rFonts w:asciiTheme="minorHAnsi" w:hAnsiTheme="minorHAnsi" w:cstheme="minorHAnsi"/>
                      <w:bCs/>
                      <w:color w:val="000000"/>
                      <w:sz w:val="18"/>
                      <w:szCs w:val="18"/>
                      <w:lang w:val="en-US" w:bidi="en-US"/>
                    </w:rPr>
                    <w:t xml:space="preserve">The Group's activities expose it to a variety of financial risks: market risk (including foreign exchange risk, cash flow and fair value interest rate risk and price risk), credit </w:t>
                  </w:r>
                  <w:r w:rsidR="003F22BD" w:rsidRPr="00846EEE">
                    <w:rPr>
                      <w:rFonts w:asciiTheme="minorHAnsi" w:hAnsiTheme="minorHAnsi" w:cstheme="minorHAnsi"/>
                      <w:bCs/>
                      <w:color w:val="000000"/>
                      <w:sz w:val="18"/>
                      <w:szCs w:val="18"/>
                      <w:lang w:val="en-US" w:bidi="en-US"/>
                    </w:rPr>
                    <w:t>risk and liquidity risk.</w:t>
                  </w:r>
                  <w:r w:rsidR="00742765" w:rsidRPr="00846EEE">
                    <w:rPr>
                      <w:rFonts w:asciiTheme="minorHAnsi" w:hAnsiTheme="minorHAnsi" w:cstheme="minorHAnsi"/>
                      <w:bCs/>
                      <w:color w:val="000000"/>
                      <w:sz w:val="18"/>
                      <w:szCs w:val="18"/>
                      <w:lang w:val="en-US" w:bidi="en-US"/>
                    </w:rPr>
                    <w:t xml:space="preserve"> </w:t>
                  </w:r>
                  <w:r w:rsidR="00C63F4B" w:rsidRPr="00846EEE">
                    <w:rPr>
                      <w:rFonts w:asciiTheme="minorHAnsi" w:hAnsiTheme="minorHAnsi" w:cstheme="minorHAnsi"/>
                      <w:bCs/>
                      <w:color w:val="000000"/>
                      <w:sz w:val="18"/>
                      <w:szCs w:val="18"/>
                      <w:lang w:val="en-US" w:bidi="en-US"/>
                    </w:rPr>
                    <w:t>The condensed Interim Financial S</w:t>
                  </w:r>
                  <w:r w:rsidRPr="00846EEE">
                    <w:rPr>
                      <w:rFonts w:asciiTheme="minorHAnsi" w:hAnsiTheme="minorHAnsi" w:cstheme="minorHAnsi"/>
                      <w:bCs/>
                      <w:color w:val="000000"/>
                      <w:sz w:val="18"/>
                      <w:szCs w:val="18"/>
                      <w:lang w:val="en-US" w:bidi="en-US"/>
                    </w:rPr>
                    <w:t xml:space="preserve">tatements should be read in conjunction with the Group's </w:t>
                  </w:r>
                  <w:r w:rsidR="00661221" w:rsidRPr="00846EEE">
                    <w:rPr>
                      <w:rFonts w:asciiTheme="minorHAnsi" w:hAnsiTheme="minorHAnsi" w:cstheme="minorHAnsi"/>
                      <w:bCs/>
                      <w:color w:val="000000"/>
                      <w:sz w:val="18"/>
                      <w:szCs w:val="18"/>
                      <w:lang w:val="en-US" w:bidi="en-US"/>
                    </w:rPr>
                    <w:t>Annual Report for the year ended 31 July 20</w:t>
                  </w:r>
                  <w:r w:rsidR="0047121F" w:rsidRPr="00846EEE">
                    <w:rPr>
                      <w:rFonts w:asciiTheme="minorHAnsi" w:hAnsiTheme="minorHAnsi" w:cstheme="minorHAnsi"/>
                      <w:bCs/>
                      <w:color w:val="000000"/>
                      <w:sz w:val="18"/>
                      <w:szCs w:val="18"/>
                      <w:lang w:val="en-US" w:bidi="en-US"/>
                    </w:rPr>
                    <w:t>22</w:t>
                  </w:r>
                  <w:r w:rsidR="00BE2449" w:rsidRPr="00846EEE">
                    <w:rPr>
                      <w:rFonts w:asciiTheme="minorHAnsi" w:hAnsiTheme="minorHAnsi" w:cstheme="minorHAnsi"/>
                      <w:bCs/>
                      <w:color w:val="000000"/>
                      <w:sz w:val="18"/>
                      <w:szCs w:val="18"/>
                      <w:lang w:val="en-US" w:bidi="en-US"/>
                    </w:rPr>
                    <w:t>,</w:t>
                  </w:r>
                  <w:r w:rsidR="00661221" w:rsidRPr="00846EEE">
                    <w:rPr>
                      <w:rFonts w:asciiTheme="minorHAnsi" w:hAnsiTheme="minorHAnsi" w:cstheme="minorHAnsi"/>
                      <w:bCs/>
                      <w:color w:val="000000"/>
                      <w:sz w:val="18"/>
                      <w:szCs w:val="18"/>
                      <w:lang w:val="en-US" w:bidi="en-US"/>
                    </w:rPr>
                    <w:t xml:space="preserve"> </w:t>
                  </w:r>
                  <w:r w:rsidRPr="00846EEE">
                    <w:rPr>
                      <w:rFonts w:asciiTheme="minorHAnsi" w:hAnsiTheme="minorHAnsi" w:cstheme="minorHAnsi"/>
                      <w:bCs/>
                      <w:color w:val="000000"/>
                      <w:sz w:val="18"/>
                      <w:szCs w:val="18"/>
                      <w:lang w:val="en-US" w:bidi="en-US"/>
                    </w:rPr>
                    <w:t xml:space="preserve">as they do not include all financial risk management information and disclosures contained within the </w:t>
                  </w:r>
                  <w:r w:rsidR="00661221" w:rsidRPr="00846EEE">
                    <w:rPr>
                      <w:rFonts w:asciiTheme="minorHAnsi" w:hAnsiTheme="minorHAnsi" w:cstheme="minorHAnsi"/>
                      <w:bCs/>
                      <w:color w:val="000000"/>
                      <w:sz w:val="18"/>
                      <w:szCs w:val="18"/>
                      <w:lang w:val="en-US" w:bidi="en-US"/>
                    </w:rPr>
                    <w:t>Annual Report</w:t>
                  </w:r>
                  <w:r w:rsidRPr="00846EEE">
                    <w:rPr>
                      <w:rFonts w:asciiTheme="minorHAnsi" w:hAnsiTheme="minorHAnsi" w:cstheme="minorHAnsi"/>
                      <w:bCs/>
                      <w:color w:val="000000"/>
                      <w:sz w:val="18"/>
                      <w:szCs w:val="18"/>
                      <w:lang w:val="en-US" w:bidi="en-US"/>
                    </w:rPr>
                    <w:t>. There have been no changes in the risk management policies since the year</w:t>
                  </w:r>
                  <w:r w:rsidR="004D20C3" w:rsidRPr="00846EEE">
                    <w:rPr>
                      <w:rFonts w:asciiTheme="minorHAnsi" w:hAnsiTheme="minorHAnsi" w:cstheme="minorHAnsi"/>
                      <w:bCs/>
                      <w:color w:val="000000"/>
                      <w:sz w:val="18"/>
                      <w:szCs w:val="18"/>
                      <w:lang w:val="en-US" w:bidi="en-US"/>
                    </w:rPr>
                    <w:t>-</w:t>
                  </w:r>
                  <w:r w:rsidRPr="00846EEE">
                    <w:rPr>
                      <w:rFonts w:asciiTheme="minorHAnsi" w:hAnsiTheme="minorHAnsi" w:cstheme="minorHAnsi"/>
                      <w:bCs/>
                      <w:color w:val="000000"/>
                      <w:sz w:val="18"/>
                      <w:szCs w:val="18"/>
                      <w:lang w:val="en-US" w:bidi="en-US"/>
                    </w:rPr>
                    <w:t>end.</w:t>
                  </w:r>
                </w:p>
                <w:p w14:paraId="3A876CDA" w14:textId="77777777" w:rsidR="00BD0800" w:rsidRPr="00846EEE" w:rsidRDefault="00BD0800" w:rsidP="00BD0800">
                  <w:pPr>
                    <w:widowControl w:val="0"/>
                    <w:autoSpaceDE w:val="0"/>
                    <w:autoSpaceDN w:val="0"/>
                    <w:adjustRightInd w:val="0"/>
                    <w:spacing w:after="0" w:line="240" w:lineRule="auto"/>
                    <w:jc w:val="both"/>
                    <w:rPr>
                      <w:rFonts w:asciiTheme="minorHAnsi" w:hAnsiTheme="minorHAnsi" w:cstheme="minorHAnsi"/>
                      <w:b/>
                      <w:bCs/>
                      <w:color w:val="000000"/>
                      <w:sz w:val="18"/>
                      <w:szCs w:val="18"/>
                      <w:lang w:val="en-US" w:bidi="en-US"/>
                    </w:rPr>
                  </w:pPr>
                </w:p>
                <w:p w14:paraId="0A57B952" w14:textId="77777777" w:rsidR="00297AC2" w:rsidRPr="00846EEE" w:rsidRDefault="00297AC2" w:rsidP="0047121F">
                  <w:pPr>
                    <w:widowControl w:val="0"/>
                    <w:autoSpaceDE w:val="0"/>
                    <w:autoSpaceDN w:val="0"/>
                    <w:adjustRightInd w:val="0"/>
                    <w:spacing w:after="0" w:line="240" w:lineRule="auto"/>
                    <w:jc w:val="both"/>
                    <w:rPr>
                      <w:rFonts w:asciiTheme="minorHAnsi" w:hAnsiTheme="minorHAnsi" w:cstheme="minorHAnsi"/>
                      <w:bCs/>
                      <w:color w:val="000000"/>
                      <w:sz w:val="18"/>
                      <w:szCs w:val="18"/>
                      <w:lang w:val="en-US" w:bidi="en-US"/>
                    </w:rPr>
                  </w:pPr>
                </w:p>
                <w:p w14:paraId="626D2B85" w14:textId="77777777" w:rsidR="00297AC2" w:rsidRPr="00846EEE" w:rsidRDefault="00297AC2" w:rsidP="0047121F">
                  <w:pPr>
                    <w:pStyle w:val="ListParagraph"/>
                    <w:widowControl w:val="0"/>
                    <w:numPr>
                      <w:ilvl w:val="0"/>
                      <w:numId w:val="1"/>
                    </w:numPr>
                    <w:autoSpaceDE w:val="0"/>
                    <w:autoSpaceDN w:val="0"/>
                    <w:adjustRightInd w:val="0"/>
                    <w:spacing w:after="0" w:line="240" w:lineRule="auto"/>
                    <w:ind w:left="351" w:hanging="351"/>
                    <w:jc w:val="both"/>
                    <w:rPr>
                      <w:rFonts w:asciiTheme="minorHAnsi" w:hAnsiTheme="minorHAnsi" w:cstheme="minorHAnsi"/>
                      <w:b/>
                      <w:bCs/>
                      <w:color w:val="000000"/>
                      <w:sz w:val="18"/>
                      <w:szCs w:val="18"/>
                      <w:lang w:val="en-US" w:bidi="en-US"/>
                    </w:rPr>
                  </w:pPr>
                  <w:r w:rsidRPr="00846EEE">
                    <w:rPr>
                      <w:rFonts w:asciiTheme="minorHAnsi" w:hAnsiTheme="minorHAnsi" w:cstheme="minorHAnsi"/>
                      <w:b/>
                      <w:bCs/>
                      <w:color w:val="000000"/>
                      <w:sz w:val="18"/>
                      <w:szCs w:val="18"/>
                      <w:lang w:val="en-US" w:bidi="en-US"/>
                    </w:rPr>
                    <w:t>Revenue</w:t>
                  </w:r>
                </w:p>
                <w:p w14:paraId="5CD80CA5" w14:textId="4FA8C24B" w:rsidR="007A34B1" w:rsidRPr="00846EEE" w:rsidRDefault="007A34B1" w:rsidP="0047121F">
                  <w:pPr>
                    <w:widowControl w:val="0"/>
                    <w:autoSpaceDE w:val="0"/>
                    <w:autoSpaceDN w:val="0"/>
                    <w:adjustRightInd w:val="0"/>
                    <w:spacing w:after="0" w:line="240" w:lineRule="auto"/>
                    <w:jc w:val="both"/>
                    <w:rPr>
                      <w:rFonts w:asciiTheme="minorHAnsi" w:hAnsiTheme="minorHAnsi" w:cstheme="minorHAnsi"/>
                      <w:b/>
                      <w:bCs/>
                      <w:color w:val="000000"/>
                      <w:sz w:val="18"/>
                      <w:szCs w:val="18"/>
                      <w:lang w:val="en-US" w:bidi="en-US"/>
                    </w:rPr>
                  </w:pPr>
                </w:p>
                <w:tbl>
                  <w:tblPr>
                    <w:tblW w:w="9254" w:type="dxa"/>
                    <w:tblLayout w:type="fixed"/>
                    <w:tblLook w:val="04A0" w:firstRow="1" w:lastRow="0" w:firstColumn="1" w:lastColumn="0" w:noHBand="0" w:noVBand="1"/>
                  </w:tblPr>
                  <w:tblGrid>
                    <w:gridCol w:w="4324"/>
                    <w:gridCol w:w="1643"/>
                    <w:gridCol w:w="1643"/>
                    <w:gridCol w:w="1644"/>
                  </w:tblGrid>
                  <w:tr w:rsidR="00F31E20" w:rsidRPr="00551D5A" w14:paraId="26004A87" w14:textId="77777777" w:rsidTr="00997EF7">
                    <w:trPr>
                      <w:trHeight w:val="377"/>
                    </w:trPr>
                    <w:tc>
                      <w:tcPr>
                        <w:tcW w:w="4324" w:type="dxa"/>
                        <w:tcBorders>
                          <w:top w:val="nil"/>
                          <w:left w:val="nil"/>
                          <w:bottom w:val="nil"/>
                          <w:right w:val="nil"/>
                        </w:tcBorders>
                        <w:shd w:val="clear" w:color="000000" w:fill="FFFFFF"/>
                        <w:vAlign w:val="center"/>
                        <w:hideMark/>
                      </w:tcPr>
                      <w:p w14:paraId="46840DFB" w14:textId="77777777" w:rsidR="007A34B1" w:rsidRPr="00846EEE" w:rsidRDefault="007A34B1" w:rsidP="007A34B1">
                        <w:pPr>
                          <w:spacing w:after="0" w:line="240" w:lineRule="auto"/>
                          <w:jc w:val="both"/>
                          <w:rPr>
                            <w:rFonts w:asciiTheme="minorHAnsi" w:hAnsiTheme="minorHAnsi" w:cstheme="minorHAnsi"/>
                            <w:sz w:val="18"/>
                            <w:szCs w:val="18"/>
                          </w:rPr>
                        </w:pPr>
                        <w:r w:rsidRPr="00846EEE">
                          <w:rPr>
                            <w:rFonts w:asciiTheme="minorHAnsi" w:hAnsiTheme="minorHAnsi" w:cstheme="minorHAnsi"/>
                            <w:sz w:val="18"/>
                            <w:szCs w:val="18"/>
                            <w:lang w:val="x-none"/>
                          </w:rPr>
                          <w:t> </w:t>
                        </w:r>
                      </w:p>
                    </w:tc>
                    <w:tc>
                      <w:tcPr>
                        <w:tcW w:w="1643" w:type="dxa"/>
                        <w:tcBorders>
                          <w:top w:val="nil"/>
                          <w:left w:val="nil"/>
                          <w:bottom w:val="nil"/>
                          <w:right w:val="nil"/>
                        </w:tcBorders>
                        <w:shd w:val="clear" w:color="000000" w:fill="FFFFFF"/>
                        <w:vAlign w:val="center"/>
                        <w:hideMark/>
                      </w:tcPr>
                      <w:p w14:paraId="5319351E" w14:textId="46FDC0A3" w:rsidR="007A34B1" w:rsidRPr="00846EEE" w:rsidRDefault="00876AEA" w:rsidP="00876AEA">
                        <w:pPr>
                          <w:spacing w:after="0" w:line="240" w:lineRule="auto"/>
                          <w:jc w:val="right"/>
                          <w:rPr>
                            <w:rFonts w:asciiTheme="minorHAnsi" w:hAnsiTheme="minorHAnsi" w:cstheme="minorHAnsi"/>
                            <w:b/>
                            <w:bCs/>
                            <w:sz w:val="18"/>
                            <w:szCs w:val="18"/>
                          </w:rPr>
                        </w:pPr>
                        <w:r>
                          <w:rPr>
                            <w:rFonts w:asciiTheme="minorHAnsi" w:hAnsiTheme="minorHAnsi" w:cstheme="minorHAnsi"/>
                            <w:b/>
                            <w:bCs/>
                            <w:sz w:val="18"/>
                            <w:szCs w:val="18"/>
                          </w:rPr>
                          <w:t xml:space="preserve">6 </w:t>
                        </w:r>
                        <w:r w:rsidR="007A34B1" w:rsidRPr="00846EEE">
                          <w:rPr>
                            <w:rFonts w:asciiTheme="minorHAnsi" w:hAnsiTheme="minorHAnsi" w:cstheme="minorHAnsi"/>
                            <w:b/>
                            <w:bCs/>
                            <w:sz w:val="18"/>
                            <w:szCs w:val="18"/>
                          </w:rPr>
                          <w:t xml:space="preserve">months ended </w:t>
                        </w:r>
                        <w:r>
                          <w:rPr>
                            <w:rFonts w:asciiTheme="minorHAnsi" w:hAnsiTheme="minorHAnsi" w:cstheme="minorHAnsi"/>
                            <w:b/>
                            <w:bCs/>
                            <w:sz w:val="18"/>
                            <w:szCs w:val="18"/>
                          </w:rPr>
                          <w:t>31 January 2023</w:t>
                        </w:r>
                      </w:p>
                    </w:tc>
                    <w:tc>
                      <w:tcPr>
                        <w:tcW w:w="1643" w:type="dxa"/>
                        <w:tcBorders>
                          <w:top w:val="nil"/>
                          <w:left w:val="nil"/>
                          <w:bottom w:val="nil"/>
                          <w:right w:val="nil"/>
                        </w:tcBorders>
                        <w:shd w:val="clear" w:color="000000" w:fill="FFFFFF"/>
                        <w:vAlign w:val="center"/>
                        <w:hideMark/>
                      </w:tcPr>
                      <w:p w14:paraId="66BFAAC2" w14:textId="77777777" w:rsidR="00876AEA" w:rsidRPr="00997EF7" w:rsidRDefault="00876AEA" w:rsidP="00876AEA">
                        <w:pPr>
                          <w:spacing w:after="0" w:line="240" w:lineRule="auto"/>
                          <w:jc w:val="right"/>
                          <w:rPr>
                            <w:rFonts w:asciiTheme="minorHAnsi" w:hAnsiTheme="minorHAnsi" w:cstheme="minorHAnsi"/>
                            <w:sz w:val="18"/>
                            <w:szCs w:val="18"/>
                          </w:rPr>
                        </w:pPr>
                        <w:r w:rsidRPr="00997EF7">
                          <w:rPr>
                            <w:rFonts w:asciiTheme="minorHAnsi" w:hAnsiTheme="minorHAnsi" w:cstheme="minorHAnsi"/>
                            <w:sz w:val="18"/>
                            <w:szCs w:val="18"/>
                          </w:rPr>
                          <w:t xml:space="preserve">6 months </w:t>
                        </w:r>
                        <w:proofErr w:type="gramStart"/>
                        <w:r w:rsidRPr="00997EF7">
                          <w:rPr>
                            <w:rFonts w:asciiTheme="minorHAnsi" w:hAnsiTheme="minorHAnsi" w:cstheme="minorHAnsi"/>
                            <w:sz w:val="18"/>
                            <w:szCs w:val="18"/>
                          </w:rPr>
                          <w:t>ended</w:t>
                        </w:r>
                        <w:proofErr w:type="gramEnd"/>
                        <w:r w:rsidRPr="00997EF7">
                          <w:rPr>
                            <w:rFonts w:asciiTheme="minorHAnsi" w:hAnsiTheme="minorHAnsi" w:cstheme="minorHAnsi"/>
                            <w:sz w:val="18"/>
                            <w:szCs w:val="18"/>
                          </w:rPr>
                          <w:t xml:space="preserve"> </w:t>
                        </w:r>
                      </w:p>
                      <w:p w14:paraId="09179F10" w14:textId="53F177D3" w:rsidR="007A34B1" w:rsidRPr="00997EF7" w:rsidRDefault="00876AEA" w:rsidP="00876AEA">
                        <w:pPr>
                          <w:spacing w:after="0" w:line="240" w:lineRule="auto"/>
                          <w:jc w:val="right"/>
                          <w:rPr>
                            <w:rFonts w:asciiTheme="minorHAnsi" w:hAnsiTheme="minorHAnsi" w:cstheme="minorHAnsi"/>
                            <w:sz w:val="18"/>
                            <w:szCs w:val="18"/>
                          </w:rPr>
                        </w:pPr>
                        <w:r w:rsidRPr="00997EF7">
                          <w:rPr>
                            <w:rFonts w:asciiTheme="minorHAnsi" w:hAnsiTheme="minorHAnsi" w:cstheme="minorHAnsi"/>
                            <w:sz w:val="18"/>
                            <w:szCs w:val="18"/>
                          </w:rPr>
                          <w:t>31 January 2022</w:t>
                        </w:r>
                      </w:p>
                    </w:tc>
                    <w:tc>
                      <w:tcPr>
                        <w:tcW w:w="1644" w:type="dxa"/>
                        <w:tcBorders>
                          <w:top w:val="nil"/>
                          <w:left w:val="nil"/>
                          <w:bottom w:val="nil"/>
                          <w:right w:val="nil"/>
                        </w:tcBorders>
                        <w:shd w:val="clear" w:color="000000" w:fill="FFFFFF"/>
                        <w:vAlign w:val="center"/>
                        <w:hideMark/>
                      </w:tcPr>
                      <w:p w14:paraId="4DE94475" w14:textId="77777777" w:rsidR="00876AEA" w:rsidRPr="00997EF7" w:rsidRDefault="00BC25D7" w:rsidP="00876AEA">
                        <w:pPr>
                          <w:spacing w:after="0" w:line="240" w:lineRule="auto"/>
                          <w:jc w:val="right"/>
                          <w:rPr>
                            <w:rFonts w:asciiTheme="minorHAnsi" w:hAnsiTheme="minorHAnsi" w:cstheme="minorHAnsi"/>
                            <w:sz w:val="18"/>
                            <w:szCs w:val="18"/>
                            <w:lang w:val="en-US"/>
                          </w:rPr>
                        </w:pPr>
                        <w:r w:rsidRPr="00997EF7">
                          <w:rPr>
                            <w:rFonts w:asciiTheme="minorHAnsi" w:hAnsiTheme="minorHAnsi" w:cstheme="minorHAnsi"/>
                            <w:sz w:val="18"/>
                            <w:szCs w:val="18"/>
                            <w:lang w:val="en-US"/>
                          </w:rPr>
                          <w:t xml:space="preserve">Year </w:t>
                        </w:r>
                        <w:proofErr w:type="gramStart"/>
                        <w:r w:rsidRPr="00997EF7">
                          <w:rPr>
                            <w:rFonts w:asciiTheme="minorHAnsi" w:hAnsiTheme="minorHAnsi" w:cstheme="minorHAnsi"/>
                            <w:sz w:val="18"/>
                            <w:szCs w:val="18"/>
                            <w:lang w:val="en-US"/>
                          </w:rPr>
                          <w:t>ended</w:t>
                        </w:r>
                        <w:proofErr w:type="gramEnd"/>
                        <w:r w:rsidRPr="00997EF7">
                          <w:rPr>
                            <w:rFonts w:asciiTheme="minorHAnsi" w:hAnsiTheme="minorHAnsi" w:cstheme="minorHAnsi"/>
                            <w:sz w:val="18"/>
                            <w:szCs w:val="18"/>
                            <w:lang w:val="en-US"/>
                          </w:rPr>
                          <w:t xml:space="preserve"> </w:t>
                        </w:r>
                      </w:p>
                      <w:p w14:paraId="6A3DD026" w14:textId="6DB4D8AD" w:rsidR="007A34B1" w:rsidRPr="00997EF7" w:rsidRDefault="00BC25D7" w:rsidP="00876AEA">
                        <w:pPr>
                          <w:spacing w:after="0" w:line="240" w:lineRule="auto"/>
                          <w:jc w:val="right"/>
                          <w:rPr>
                            <w:rFonts w:asciiTheme="minorHAnsi" w:hAnsiTheme="minorHAnsi" w:cstheme="minorHAnsi"/>
                            <w:sz w:val="18"/>
                            <w:szCs w:val="18"/>
                          </w:rPr>
                        </w:pPr>
                        <w:r w:rsidRPr="00997EF7">
                          <w:rPr>
                            <w:rFonts w:asciiTheme="minorHAnsi" w:hAnsiTheme="minorHAnsi" w:cstheme="minorHAnsi"/>
                            <w:sz w:val="18"/>
                            <w:szCs w:val="18"/>
                            <w:lang w:val="en-US"/>
                          </w:rPr>
                          <w:t xml:space="preserve">31 July </w:t>
                        </w:r>
                        <w:r w:rsidR="007A34B1" w:rsidRPr="00997EF7">
                          <w:rPr>
                            <w:rFonts w:asciiTheme="minorHAnsi" w:hAnsiTheme="minorHAnsi" w:cstheme="minorHAnsi"/>
                            <w:sz w:val="18"/>
                            <w:szCs w:val="18"/>
                            <w:lang w:val="en-US"/>
                          </w:rPr>
                          <w:t>2022</w:t>
                        </w:r>
                      </w:p>
                    </w:tc>
                  </w:tr>
                  <w:tr w:rsidR="00F31E20" w:rsidRPr="00551D5A" w14:paraId="58FC1035" w14:textId="77777777" w:rsidTr="00997EF7">
                    <w:trPr>
                      <w:trHeight w:val="246"/>
                    </w:trPr>
                    <w:tc>
                      <w:tcPr>
                        <w:tcW w:w="4324" w:type="dxa"/>
                        <w:tcBorders>
                          <w:top w:val="nil"/>
                          <w:left w:val="nil"/>
                          <w:bottom w:val="single" w:sz="8" w:space="0" w:color="auto"/>
                          <w:right w:val="nil"/>
                        </w:tcBorders>
                        <w:shd w:val="clear" w:color="000000" w:fill="FFFFFF"/>
                        <w:vAlign w:val="center"/>
                        <w:hideMark/>
                      </w:tcPr>
                      <w:p w14:paraId="70B022AF" w14:textId="77777777" w:rsidR="007A34B1" w:rsidRPr="00846EEE" w:rsidRDefault="007A34B1" w:rsidP="00997EF7">
                        <w:pPr>
                          <w:spacing w:after="0" w:line="240" w:lineRule="auto"/>
                          <w:ind w:left="-170" w:firstLine="68"/>
                          <w:rPr>
                            <w:rFonts w:asciiTheme="minorHAnsi" w:hAnsiTheme="minorHAnsi" w:cstheme="minorHAnsi"/>
                            <w:b/>
                            <w:bCs/>
                            <w:sz w:val="18"/>
                            <w:szCs w:val="18"/>
                          </w:rPr>
                        </w:pPr>
                        <w:r w:rsidRPr="00846EEE">
                          <w:rPr>
                            <w:rFonts w:asciiTheme="minorHAnsi" w:hAnsiTheme="minorHAnsi" w:cstheme="minorHAnsi"/>
                            <w:b/>
                            <w:bCs/>
                            <w:sz w:val="18"/>
                            <w:szCs w:val="18"/>
                          </w:rPr>
                          <w:t>Geographical split by location:</w:t>
                        </w:r>
                      </w:p>
                    </w:tc>
                    <w:tc>
                      <w:tcPr>
                        <w:tcW w:w="1643" w:type="dxa"/>
                        <w:tcBorders>
                          <w:top w:val="nil"/>
                          <w:left w:val="nil"/>
                          <w:bottom w:val="single" w:sz="8" w:space="0" w:color="auto"/>
                          <w:right w:val="nil"/>
                        </w:tcBorders>
                        <w:shd w:val="clear" w:color="000000" w:fill="FFFFFF"/>
                        <w:vAlign w:val="center"/>
                        <w:hideMark/>
                      </w:tcPr>
                      <w:p w14:paraId="302F9833" w14:textId="77777777" w:rsidR="007A34B1" w:rsidRPr="00846EEE" w:rsidRDefault="007A34B1" w:rsidP="007A34B1">
                        <w:pPr>
                          <w:spacing w:after="0" w:line="240" w:lineRule="auto"/>
                          <w:jc w:val="right"/>
                          <w:rPr>
                            <w:rFonts w:asciiTheme="minorHAnsi" w:hAnsiTheme="minorHAnsi" w:cstheme="minorHAnsi"/>
                            <w:b/>
                            <w:bCs/>
                            <w:sz w:val="18"/>
                            <w:szCs w:val="18"/>
                          </w:rPr>
                        </w:pPr>
                        <w:r w:rsidRPr="00846EEE">
                          <w:rPr>
                            <w:rFonts w:asciiTheme="minorHAnsi" w:hAnsiTheme="minorHAnsi" w:cstheme="minorHAnsi"/>
                            <w:b/>
                            <w:bCs/>
                            <w:sz w:val="18"/>
                            <w:szCs w:val="18"/>
                            <w:lang w:val="en-US"/>
                          </w:rPr>
                          <w:t>£’000</w:t>
                        </w:r>
                      </w:p>
                    </w:tc>
                    <w:tc>
                      <w:tcPr>
                        <w:tcW w:w="1643" w:type="dxa"/>
                        <w:tcBorders>
                          <w:top w:val="nil"/>
                          <w:left w:val="nil"/>
                          <w:bottom w:val="single" w:sz="8" w:space="0" w:color="auto"/>
                          <w:right w:val="nil"/>
                        </w:tcBorders>
                        <w:shd w:val="clear" w:color="000000" w:fill="FFFFFF"/>
                        <w:vAlign w:val="center"/>
                        <w:hideMark/>
                      </w:tcPr>
                      <w:p w14:paraId="2CEEA37C" w14:textId="77777777" w:rsidR="007A34B1" w:rsidRPr="00997EF7" w:rsidRDefault="007A34B1" w:rsidP="007A34B1">
                        <w:pPr>
                          <w:spacing w:after="0" w:line="240" w:lineRule="auto"/>
                          <w:jc w:val="right"/>
                          <w:rPr>
                            <w:rFonts w:asciiTheme="minorHAnsi" w:hAnsiTheme="minorHAnsi" w:cstheme="minorHAnsi"/>
                            <w:sz w:val="18"/>
                            <w:szCs w:val="18"/>
                          </w:rPr>
                        </w:pPr>
                        <w:r w:rsidRPr="00997EF7">
                          <w:rPr>
                            <w:rFonts w:asciiTheme="minorHAnsi" w:hAnsiTheme="minorHAnsi" w:cstheme="minorHAnsi"/>
                            <w:sz w:val="18"/>
                            <w:szCs w:val="18"/>
                            <w:lang w:val="en-US"/>
                          </w:rPr>
                          <w:t>£’000</w:t>
                        </w:r>
                      </w:p>
                    </w:tc>
                    <w:tc>
                      <w:tcPr>
                        <w:tcW w:w="1644" w:type="dxa"/>
                        <w:tcBorders>
                          <w:top w:val="nil"/>
                          <w:left w:val="nil"/>
                          <w:bottom w:val="single" w:sz="8" w:space="0" w:color="auto"/>
                          <w:right w:val="nil"/>
                        </w:tcBorders>
                        <w:shd w:val="clear" w:color="000000" w:fill="FFFFFF"/>
                        <w:vAlign w:val="center"/>
                        <w:hideMark/>
                      </w:tcPr>
                      <w:p w14:paraId="5A02A669" w14:textId="77777777" w:rsidR="007A34B1" w:rsidRPr="00997EF7" w:rsidRDefault="007A34B1" w:rsidP="00F31E20">
                        <w:pPr>
                          <w:spacing w:after="0" w:line="240" w:lineRule="auto"/>
                          <w:jc w:val="right"/>
                          <w:rPr>
                            <w:rFonts w:asciiTheme="minorHAnsi" w:hAnsiTheme="minorHAnsi" w:cstheme="minorHAnsi"/>
                            <w:sz w:val="18"/>
                            <w:szCs w:val="18"/>
                          </w:rPr>
                        </w:pPr>
                        <w:r w:rsidRPr="00997EF7">
                          <w:rPr>
                            <w:rFonts w:asciiTheme="minorHAnsi" w:hAnsiTheme="minorHAnsi" w:cstheme="minorHAnsi"/>
                            <w:sz w:val="18"/>
                            <w:szCs w:val="18"/>
                            <w:lang w:val="en-US"/>
                          </w:rPr>
                          <w:t>£’000</w:t>
                        </w:r>
                      </w:p>
                    </w:tc>
                  </w:tr>
                  <w:tr w:rsidR="000469A9" w:rsidRPr="00551D5A" w14:paraId="31C20B72" w14:textId="77777777" w:rsidTr="00997EF7">
                    <w:trPr>
                      <w:trHeight w:val="234"/>
                    </w:trPr>
                    <w:tc>
                      <w:tcPr>
                        <w:tcW w:w="4324" w:type="dxa"/>
                        <w:tcBorders>
                          <w:top w:val="nil"/>
                          <w:left w:val="nil"/>
                          <w:bottom w:val="nil"/>
                          <w:right w:val="nil"/>
                        </w:tcBorders>
                        <w:shd w:val="clear" w:color="000000" w:fill="FFFFFF"/>
                        <w:vAlign w:val="center"/>
                        <w:hideMark/>
                      </w:tcPr>
                      <w:p w14:paraId="2DAB4857" w14:textId="77777777" w:rsidR="000469A9" w:rsidRPr="00846EEE" w:rsidRDefault="000469A9" w:rsidP="00997EF7">
                        <w:pPr>
                          <w:spacing w:after="0" w:line="240" w:lineRule="auto"/>
                          <w:ind w:left="-170" w:firstLine="68"/>
                          <w:jc w:val="both"/>
                          <w:rPr>
                            <w:rFonts w:asciiTheme="minorHAnsi" w:hAnsiTheme="minorHAnsi" w:cstheme="minorHAnsi"/>
                            <w:sz w:val="18"/>
                            <w:szCs w:val="18"/>
                          </w:rPr>
                        </w:pPr>
                        <w:r w:rsidRPr="00846EEE">
                          <w:rPr>
                            <w:rFonts w:asciiTheme="minorHAnsi" w:hAnsiTheme="minorHAnsi" w:cstheme="minorHAnsi"/>
                            <w:sz w:val="18"/>
                            <w:szCs w:val="18"/>
                            <w:lang w:val="en-US"/>
                          </w:rPr>
                          <w:t>United Kingdom</w:t>
                        </w:r>
                      </w:p>
                    </w:tc>
                    <w:tc>
                      <w:tcPr>
                        <w:tcW w:w="1643" w:type="dxa"/>
                        <w:tcBorders>
                          <w:top w:val="nil"/>
                          <w:left w:val="nil"/>
                          <w:bottom w:val="nil"/>
                          <w:right w:val="nil"/>
                        </w:tcBorders>
                        <w:shd w:val="clear" w:color="000000" w:fill="FFFFFF"/>
                        <w:vAlign w:val="center"/>
                        <w:hideMark/>
                      </w:tcPr>
                      <w:p w14:paraId="1F030275" w14:textId="1E5D5508" w:rsidR="000469A9" w:rsidRPr="00846EEE" w:rsidRDefault="000469A9" w:rsidP="000469A9">
                        <w:pPr>
                          <w:spacing w:after="0" w:line="240" w:lineRule="auto"/>
                          <w:jc w:val="right"/>
                          <w:rPr>
                            <w:rFonts w:asciiTheme="minorHAnsi" w:hAnsiTheme="minorHAnsi" w:cstheme="minorHAnsi"/>
                            <w:sz w:val="18"/>
                            <w:szCs w:val="18"/>
                          </w:rPr>
                        </w:pPr>
                        <w:r>
                          <w:rPr>
                            <w:rFonts w:cs="Calibri"/>
                            <w:sz w:val="18"/>
                            <w:szCs w:val="18"/>
                          </w:rPr>
                          <w:t>62,569</w:t>
                        </w:r>
                      </w:p>
                    </w:tc>
                    <w:tc>
                      <w:tcPr>
                        <w:tcW w:w="1643" w:type="dxa"/>
                        <w:tcBorders>
                          <w:top w:val="nil"/>
                          <w:left w:val="nil"/>
                          <w:bottom w:val="nil"/>
                          <w:right w:val="nil"/>
                        </w:tcBorders>
                        <w:shd w:val="clear" w:color="000000" w:fill="FFFFFF"/>
                        <w:vAlign w:val="center"/>
                        <w:hideMark/>
                      </w:tcPr>
                      <w:p w14:paraId="5181F59B" w14:textId="77777777" w:rsidR="000469A9" w:rsidRPr="00876AEA" w:rsidRDefault="000469A9" w:rsidP="000469A9">
                        <w:pPr>
                          <w:spacing w:after="0" w:line="240" w:lineRule="auto"/>
                          <w:jc w:val="right"/>
                          <w:rPr>
                            <w:rFonts w:asciiTheme="minorHAnsi" w:hAnsiTheme="minorHAnsi" w:cstheme="minorHAnsi"/>
                            <w:sz w:val="18"/>
                            <w:szCs w:val="18"/>
                          </w:rPr>
                        </w:pPr>
                        <w:r w:rsidRPr="00876AEA">
                          <w:rPr>
                            <w:rFonts w:asciiTheme="minorHAnsi" w:hAnsiTheme="minorHAnsi" w:cstheme="minorHAnsi"/>
                            <w:sz w:val="18"/>
                            <w:szCs w:val="18"/>
                          </w:rPr>
                          <w:t>56,718</w:t>
                        </w:r>
                      </w:p>
                    </w:tc>
                    <w:tc>
                      <w:tcPr>
                        <w:tcW w:w="1644" w:type="dxa"/>
                        <w:tcBorders>
                          <w:top w:val="nil"/>
                          <w:left w:val="nil"/>
                          <w:bottom w:val="nil"/>
                          <w:right w:val="nil"/>
                        </w:tcBorders>
                        <w:shd w:val="clear" w:color="000000" w:fill="FFFFFF"/>
                        <w:vAlign w:val="center"/>
                        <w:hideMark/>
                      </w:tcPr>
                      <w:p w14:paraId="01B81082" w14:textId="77777777" w:rsidR="000469A9" w:rsidRPr="00876AEA" w:rsidRDefault="000469A9" w:rsidP="000469A9">
                        <w:pPr>
                          <w:spacing w:after="0" w:line="240" w:lineRule="auto"/>
                          <w:jc w:val="right"/>
                          <w:rPr>
                            <w:rFonts w:asciiTheme="minorHAnsi" w:hAnsiTheme="minorHAnsi" w:cstheme="minorHAnsi"/>
                            <w:sz w:val="18"/>
                            <w:szCs w:val="18"/>
                          </w:rPr>
                        </w:pPr>
                        <w:r w:rsidRPr="00876AEA">
                          <w:rPr>
                            <w:rFonts w:asciiTheme="minorHAnsi" w:hAnsiTheme="minorHAnsi" w:cstheme="minorHAnsi"/>
                            <w:sz w:val="18"/>
                            <w:szCs w:val="18"/>
                            <w:lang w:val="x-none"/>
                          </w:rPr>
                          <w:t>101,050</w:t>
                        </w:r>
                      </w:p>
                    </w:tc>
                  </w:tr>
                  <w:tr w:rsidR="000469A9" w:rsidRPr="00551D5A" w14:paraId="774A68F3" w14:textId="77777777" w:rsidTr="00997EF7">
                    <w:trPr>
                      <w:trHeight w:val="234"/>
                    </w:trPr>
                    <w:tc>
                      <w:tcPr>
                        <w:tcW w:w="4324" w:type="dxa"/>
                        <w:tcBorders>
                          <w:top w:val="nil"/>
                          <w:left w:val="nil"/>
                          <w:bottom w:val="nil"/>
                          <w:right w:val="nil"/>
                        </w:tcBorders>
                        <w:shd w:val="clear" w:color="000000" w:fill="FFFFFF"/>
                        <w:vAlign w:val="center"/>
                        <w:hideMark/>
                      </w:tcPr>
                      <w:p w14:paraId="6746907D" w14:textId="77777777" w:rsidR="000469A9" w:rsidRPr="00846EEE" w:rsidRDefault="000469A9" w:rsidP="00997EF7">
                        <w:pPr>
                          <w:spacing w:after="0" w:line="240" w:lineRule="auto"/>
                          <w:ind w:left="-170" w:firstLine="68"/>
                          <w:jc w:val="both"/>
                          <w:rPr>
                            <w:rFonts w:asciiTheme="minorHAnsi" w:hAnsiTheme="minorHAnsi" w:cstheme="minorHAnsi"/>
                            <w:sz w:val="18"/>
                            <w:szCs w:val="18"/>
                          </w:rPr>
                        </w:pPr>
                        <w:r w:rsidRPr="00846EEE">
                          <w:rPr>
                            <w:rFonts w:asciiTheme="minorHAnsi" w:hAnsiTheme="minorHAnsi" w:cstheme="minorHAnsi"/>
                            <w:sz w:val="18"/>
                            <w:szCs w:val="18"/>
                            <w:lang w:val="en-US"/>
                          </w:rPr>
                          <w:t>Germany</w:t>
                        </w:r>
                      </w:p>
                    </w:tc>
                    <w:tc>
                      <w:tcPr>
                        <w:tcW w:w="1643" w:type="dxa"/>
                        <w:tcBorders>
                          <w:top w:val="nil"/>
                          <w:left w:val="nil"/>
                          <w:bottom w:val="nil"/>
                          <w:right w:val="nil"/>
                        </w:tcBorders>
                        <w:shd w:val="clear" w:color="000000" w:fill="FFFFFF"/>
                        <w:vAlign w:val="center"/>
                        <w:hideMark/>
                      </w:tcPr>
                      <w:p w14:paraId="1921FFC7" w14:textId="7D93D564" w:rsidR="000469A9" w:rsidRPr="00846EEE" w:rsidRDefault="000469A9" w:rsidP="000469A9">
                        <w:pPr>
                          <w:spacing w:after="0" w:line="240" w:lineRule="auto"/>
                          <w:jc w:val="right"/>
                          <w:rPr>
                            <w:rFonts w:asciiTheme="minorHAnsi" w:hAnsiTheme="minorHAnsi" w:cstheme="minorHAnsi"/>
                            <w:sz w:val="18"/>
                            <w:szCs w:val="18"/>
                          </w:rPr>
                        </w:pPr>
                        <w:r>
                          <w:rPr>
                            <w:rFonts w:cs="Calibri"/>
                            <w:sz w:val="18"/>
                            <w:szCs w:val="18"/>
                          </w:rPr>
                          <w:t>8,825</w:t>
                        </w:r>
                      </w:p>
                    </w:tc>
                    <w:tc>
                      <w:tcPr>
                        <w:tcW w:w="1643" w:type="dxa"/>
                        <w:tcBorders>
                          <w:top w:val="nil"/>
                          <w:left w:val="nil"/>
                          <w:bottom w:val="nil"/>
                          <w:right w:val="nil"/>
                        </w:tcBorders>
                        <w:shd w:val="clear" w:color="000000" w:fill="FFFFFF"/>
                        <w:vAlign w:val="center"/>
                        <w:hideMark/>
                      </w:tcPr>
                      <w:p w14:paraId="485E2C24" w14:textId="77777777" w:rsidR="000469A9" w:rsidRPr="00876AEA" w:rsidRDefault="000469A9" w:rsidP="000469A9">
                        <w:pPr>
                          <w:spacing w:after="0" w:line="240" w:lineRule="auto"/>
                          <w:jc w:val="right"/>
                          <w:rPr>
                            <w:rFonts w:asciiTheme="minorHAnsi" w:hAnsiTheme="minorHAnsi" w:cstheme="minorHAnsi"/>
                            <w:sz w:val="18"/>
                            <w:szCs w:val="18"/>
                          </w:rPr>
                        </w:pPr>
                        <w:r w:rsidRPr="00876AEA">
                          <w:rPr>
                            <w:rFonts w:asciiTheme="minorHAnsi" w:hAnsiTheme="minorHAnsi" w:cstheme="minorHAnsi"/>
                            <w:sz w:val="18"/>
                            <w:szCs w:val="18"/>
                          </w:rPr>
                          <w:t>11,771</w:t>
                        </w:r>
                      </w:p>
                    </w:tc>
                    <w:tc>
                      <w:tcPr>
                        <w:tcW w:w="1644" w:type="dxa"/>
                        <w:tcBorders>
                          <w:top w:val="nil"/>
                          <w:left w:val="nil"/>
                          <w:bottom w:val="nil"/>
                          <w:right w:val="nil"/>
                        </w:tcBorders>
                        <w:shd w:val="clear" w:color="000000" w:fill="FFFFFF"/>
                        <w:vAlign w:val="center"/>
                        <w:hideMark/>
                      </w:tcPr>
                      <w:p w14:paraId="5FD0396B" w14:textId="77777777" w:rsidR="000469A9" w:rsidRPr="00876AEA" w:rsidRDefault="000469A9" w:rsidP="000469A9">
                        <w:pPr>
                          <w:spacing w:after="0" w:line="240" w:lineRule="auto"/>
                          <w:jc w:val="right"/>
                          <w:rPr>
                            <w:rFonts w:asciiTheme="minorHAnsi" w:hAnsiTheme="minorHAnsi" w:cstheme="minorHAnsi"/>
                            <w:sz w:val="18"/>
                            <w:szCs w:val="18"/>
                          </w:rPr>
                        </w:pPr>
                        <w:r w:rsidRPr="00876AEA">
                          <w:rPr>
                            <w:rFonts w:asciiTheme="minorHAnsi" w:hAnsiTheme="minorHAnsi" w:cstheme="minorHAnsi"/>
                            <w:sz w:val="18"/>
                            <w:szCs w:val="18"/>
                            <w:lang w:val="x-none"/>
                          </w:rPr>
                          <w:t>19,231</w:t>
                        </w:r>
                      </w:p>
                    </w:tc>
                  </w:tr>
                  <w:tr w:rsidR="000469A9" w:rsidRPr="00551D5A" w14:paraId="140D71AD" w14:textId="77777777" w:rsidTr="00997EF7">
                    <w:trPr>
                      <w:trHeight w:val="234"/>
                    </w:trPr>
                    <w:tc>
                      <w:tcPr>
                        <w:tcW w:w="4324" w:type="dxa"/>
                        <w:tcBorders>
                          <w:top w:val="nil"/>
                          <w:left w:val="nil"/>
                          <w:bottom w:val="nil"/>
                          <w:right w:val="nil"/>
                        </w:tcBorders>
                        <w:shd w:val="clear" w:color="000000" w:fill="FFFFFF"/>
                        <w:vAlign w:val="center"/>
                        <w:hideMark/>
                      </w:tcPr>
                      <w:p w14:paraId="3AA70893" w14:textId="77777777" w:rsidR="000469A9" w:rsidRPr="00846EEE" w:rsidRDefault="000469A9" w:rsidP="00997EF7">
                        <w:pPr>
                          <w:spacing w:after="0" w:line="240" w:lineRule="auto"/>
                          <w:ind w:left="-170" w:firstLine="68"/>
                          <w:jc w:val="both"/>
                          <w:rPr>
                            <w:rFonts w:asciiTheme="minorHAnsi" w:hAnsiTheme="minorHAnsi" w:cstheme="minorHAnsi"/>
                            <w:sz w:val="18"/>
                            <w:szCs w:val="18"/>
                          </w:rPr>
                        </w:pPr>
                        <w:r w:rsidRPr="00846EEE">
                          <w:rPr>
                            <w:rFonts w:asciiTheme="minorHAnsi" w:hAnsiTheme="minorHAnsi" w:cstheme="minorHAnsi"/>
                            <w:sz w:val="18"/>
                            <w:szCs w:val="18"/>
                            <w:lang w:val="en-US"/>
                          </w:rPr>
                          <w:t>Rest of Europe</w:t>
                        </w:r>
                      </w:p>
                    </w:tc>
                    <w:tc>
                      <w:tcPr>
                        <w:tcW w:w="1643" w:type="dxa"/>
                        <w:tcBorders>
                          <w:top w:val="nil"/>
                          <w:left w:val="nil"/>
                          <w:bottom w:val="nil"/>
                          <w:right w:val="nil"/>
                        </w:tcBorders>
                        <w:shd w:val="clear" w:color="000000" w:fill="FFFFFF"/>
                        <w:vAlign w:val="center"/>
                        <w:hideMark/>
                      </w:tcPr>
                      <w:p w14:paraId="3500B623" w14:textId="2B6E5417" w:rsidR="000469A9" w:rsidRPr="00846EEE" w:rsidRDefault="000469A9" w:rsidP="000469A9">
                        <w:pPr>
                          <w:spacing w:after="0" w:line="240" w:lineRule="auto"/>
                          <w:jc w:val="right"/>
                          <w:rPr>
                            <w:rFonts w:asciiTheme="minorHAnsi" w:hAnsiTheme="minorHAnsi" w:cstheme="minorHAnsi"/>
                            <w:sz w:val="18"/>
                            <w:szCs w:val="18"/>
                          </w:rPr>
                        </w:pPr>
                        <w:r>
                          <w:rPr>
                            <w:rFonts w:cs="Calibri"/>
                            <w:sz w:val="18"/>
                            <w:szCs w:val="18"/>
                          </w:rPr>
                          <w:t>15,642</w:t>
                        </w:r>
                      </w:p>
                    </w:tc>
                    <w:tc>
                      <w:tcPr>
                        <w:tcW w:w="1643" w:type="dxa"/>
                        <w:tcBorders>
                          <w:top w:val="nil"/>
                          <w:left w:val="nil"/>
                          <w:bottom w:val="nil"/>
                          <w:right w:val="nil"/>
                        </w:tcBorders>
                        <w:shd w:val="clear" w:color="000000" w:fill="FFFFFF"/>
                        <w:vAlign w:val="center"/>
                        <w:hideMark/>
                      </w:tcPr>
                      <w:p w14:paraId="7758222C" w14:textId="77777777" w:rsidR="000469A9" w:rsidRPr="00876AEA" w:rsidRDefault="000469A9" w:rsidP="000469A9">
                        <w:pPr>
                          <w:spacing w:after="0" w:line="240" w:lineRule="auto"/>
                          <w:jc w:val="right"/>
                          <w:rPr>
                            <w:rFonts w:asciiTheme="minorHAnsi" w:hAnsiTheme="minorHAnsi" w:cstheme="minorHAnsi"/>
                            <w:sz w:val="18"/>
                            <w:szCs w:val="18"/>
                          </w:rPr>
                        </w:pPr>
                        <w:r w:rsidRPr="00876AEA">
                          <w:rPr>
                            <w:rFonts w:asciiTheme="minorHAnsi" w:hAnsiTheme="minorHAnsi" w:cstheme="minorHAnsi"/>
                            <w:sz w:val="18"/>
                            <w:szCs w:val="18"/>
                          </w:rPr>
                          <w:t>14,866</w:t>
                        </w:r>
                      </w:p>
                    </w:tc>
                    <w:tc>
                      <w:tcPr>
                        <w:tcW w:w="1644" w:type="dxa"/>
                        <w:tcBorders>
                          <w:top w:val="nil"/>
                          <w:left w:val="nil"/>
                          <w:bottom w:val="nil"/>
                          <w:right w:val="nil"/>
                        </w:tcBorders>
                        <w:shd w:val="clear" w:color="000000" w:fill="FFFFFF"/>
                        <w:vAlign w:val="center"/>
                        <w:hideMark/>
                      </w:tcPr>
                      <w:p w14:paraId="0B23DA70" w14:textId="77777777" w:rsidR="000469A9" w:rsidRPr="00876AEA" w:rsidRDefault="000469A9" w:rsidP="000469A9">
                        <w:pPr>
                          <w:spacing w:after="0" w:line="240" w:lineRule="auto"/>
                          <w:jc w:val="right"/>
                          <w:rPr>
                            <w:rFonts w:asciiTheme="minorHAnsi" w:hAnsiTheme="minorHAnsi" w:cstheme="minorHAnsi"/>
                            <w:sz w:val="18"/>
                            <w:szCs w:val="18"/>
                          </w:rPr>
                        </w:pPr>
                        <w:r w:rsidRPr="00876AEA">
                          <w:rPr>
                            <w:rFonts w:asciiTheme="minorHAnsi" w:hAnsiTheme="minorHAnsi" w:cstheme="minorHAnsi"/>
                            <w:sz w:val="18"/>
                            <w:szCs w:val="18"/>
                            <w:lang w:val="x-none"/>
                          </w:rPr>
                          <w:t>29,700</w:t>
                        </w:r>
                      </w:p>
                    </w:tc>
                  </w:tr>
                  <w:tr w:rsidR="000469A9" w:rsidRPr="00551D5A" w14:paraId="5E5A41E8" w14:textId="77777777" w:rsidTr="00997EF7">
                    <w:trPr>
                      <w:trHeight w:val="246"/>
                    </w:trPr>
                    <w:tc>
                      <w:tcPr>
                        <w:tcW w:w="4324" w:type="dxa"/>
                        <w:tcBorders>
                          <w:top w:val="nil"/>
                          <w:left w:val="nil"/>
                          <w:bottom w:val="single" w:sz="8" w:space="0" w:color="auto"/>
                          <w:right w:val="nil"/>
                        </w:tcBorders>
                        <w:shd w:val="clear" w:color="000000" w:fill="FFFFFF"/>
                        <w:vAlign w:val="center"/>
                        <w:hideMark/>
                      </w:tcPr>
                      <w:p w14:paraId="337FC4F7" w14:textId="77777777" w:rsidR="000469A9" w:rsidRPr="00846EEE" w:rsidRDefault="000469A9" w:rsidP="00997EF7">
                        <w:pPr>
                          <w:spacing w:after="0" w:line="240" w:lineRule="auto"/>
                          <w:ind w:left="-170" w:firstLine="68"/>
                          <w:jc w:val="both"/>
                          <w:rPr>
                            <w:rFonts w:asciiTheme="minorHAnsi" w:hAnsiTheme="minorHAnsi" w:cstheme="minorHAnsi"/>
                            <w:sz w:val="18"/>
                            <w:szCs w:val="18"/>
                          </w:rPr>
                        </w:pPr>
                        <w:r w:rsidRPr="00846EEE">
                          <w:rPr>
                            <w:rFonts w:asciiTheme="minorHAnsi" w:hAnsiTheme="minorHAnsi" w:cstheme="minorHAnsi"/>
                            <w:sz w:val="18"/>
                            <w:szCs w:val="18"/>
                            <w:lang w:val="en-US"/>
                          </w:rPr>
                          <w:t>Rest of the World</w:t>
                        </w:r>
                      </w:p>
                    </w:tc>
                    <w:tc>
                      <w:tcPr>
                        <w:tcW w:w="1643" w:type="dxa"/>
                        <w:tcBorders>
                          <w:top w:val="nil"/>
                          <w:left w:val="nil"/>
                          <w:bottom w:val="single" w:sz="8" w:space="0" w:color="auto"/>
                          <w:right w:val="nil"/>
                        </w:tcBorders>
                        <w:shd w:val="clear" w:color="000000" w:fill="FFFFFF"/>
                        <w:vAlign w:val="center"/>
                        <w:hideMark/>
                      </w:tcPr>
                      <w:p w14:paraId="47B3FA31" w14:textId="429CCC73" w:rsidR="000469A9" w:rsidRPr="00846EEE" w:rsidRDefault="000469A9" w:rsidP="000469A9">
                        <w:pPr>
                          <w:spacing w:after="0" w:line="240" w:lineRule="auto"/>
                          <w:jc w:val="right"/>
                          <w:rPr>
                            <w:rFonts w:asciiTheme="minorHAnsi" w:hAnsiTheme="minorHAnsi" w:cstheme="minorHAnsi"/>
                            <w:sz w:val="18"/>
                            <w:szCs w:val="18"/>
                          </w:rPr>
                        </w:pPr>
                        <w:r>
                          <w:rPr>
                            <w:rFonts w:cs="Calibri"/>
                            <w:sz w:val="18"/>
                            <w:szCs w:val="18"/>
                          </w:rPr>
                          <w:t>570</w:t>
                        </w:r>
                      </w:p>
                    </w:tc>
                    <w:tc>
                      <w:tcPr>
                        <w:tcW w:w="1643" w:type="dxa"/>
                        <w:tcBorders>
                          <w:top w:val="nil"/>
                          <w:left w:val="nil"/>
                          <w:bottom w:val="single" w:sz="8" w:space="0" w:color="auto"/>
                          <w:right w:val="nil"/>
                        </w:tcBorders>
                        <w:shd w:val="clear" w:color="000000" w:fill="FFFFFF"/>
                        <w:vAlign w:val="center"/>
                        <w:hideMark/>
                      </w:tcPr>
                      <w:p w14:paraId="5E92080F" w14:textId="77777777" w:rsidR="000469A9" w:rsidRPr="00876AEA" w:rsidRDefault="000469A9" w:rsidP="000469A9">
                        <w:pPr>
                          <w:spacing w:after="0" w:line="240" w:lineRule="auto"/>
                          <w:jc w:val="right"/>
                          <w:rPr>
                            <w:rFonts w:asciiTheme="minorHAnsi" w:hAnsiTheme="minorHAnsi" w:cstheme="minorHAnsi"/>
                            <w:sz w:val="18"/>
                            <w:szCs w:val="18"/>
                          </w:rPr>
                        </w:pPr>
                        <w:r w:rsidRPr="00876AEA">
                          <w:rPr>
                            <w:rFonts w:asciiTheme="minorHAnsi" w:hAnsiTheme="minorHAnsi" w:cstheme="minorHAnsi"/>
                            <w:sz w:val="18"/>
                            <w:szCs w:val="18"/>
                          </w:rPr>
                          <w:t>2,391</w:t>
                        </w:r>
                      </w:p>
                    </w:tc>
                    <w:tc>
                      <w:tcPr>
                        <w:tcW w:w="1644" w:type="dxa"/>
                        <w:tcBorders>
                          <w:top w:val="nil"/>
                          <w:left w:val="nil"/>
                          <w:bottom w:val="single" w:sz="8" w:space="0" w:color="auto"/>
                          <w:right w:val="nil"/>
                        </w:tcBorders>
                        <w:shd w:val="clear" w:color="000000" w:fill="FFFFFF"/>
                        <w:vAlign w:val="center"/>
                        <w:hideMark/>
                      </w:tcPr>
                      <w:p w14:paraId="234C149F" w14:textId="77777777" w:rsidR="000469A9" w:rsidRPr="00876AEA" w:rsidRDefault="000469A9" w:rsidP="000469A9">
                        <w:pPr>
                          <w:spacing w:after="0" w:line="240" w:lineRule="auto"/>
                          <w:jc w:val="right"/>
                          <w:rPr>
                            <w:rFonts w:asciiTheme="minorHAnsi" w:hAnsiTheme="minorHAnsi" w:cstheme="minorHAnsi"/>
                            <w:sz w:val="18"/>
                            <w:szCs w:val="18"/>
                          </w:rPr>
                        </w:pPr>
                        <w:r w:rsidRPr="00876AEA">
                          <w:rPr>
                            <w:rFonts w:asciiTheme="minorHAnsi" w:hAnsiTheme="minorHAnsi" w:cstheme="minorHAnsi"/>
                            <w:sz w:val="18"/>
                            <w:szCs w:val="18"/>
                          </w:rPr>
                          <w:t>4,210</w:t>
                        </w:r>
                      </w:p>
                    </w:tc>
                  </w:tr>
                  <w:tr w:rsidR="000469A9" w:rsidRPr="00551D5A" w14:paraId="065EA2D0" w14:textId="77777777" w:rsidTr="00997EF7">
                    <w:trPr>
                      <w:trHeight w:val="246"/>
                    </w:trPr>
                    <w:tc>
                      <w:tcPr>
                        <w:tcW w:w="4324" w:type="dxa"/>
                        <w:tcBorders>
                          <w:top w:val="nil"/>
                          <w:left w:val="nil"/>
                          <w:bottom w:val="double" w:sz="6" w:space="0" w:color="auto"/>
                          <w:right w:val="nil"/>
                        </w:tcBorders>
                        <w:shd w:val="clear" w:color="000000" w:fill="FFFFFF"/>
                        <w:vAlign w:val="center"/>
                        <w:hideMark/>
                      </w:tcPr>
                      <w:p w14:paraId="34A1E9C4" w14:textId="77777777" w:rsidR="000469A9" w:rsidRPr="00997EF7" w:rsidRDefault="000469A9" w:rsidP="00997EF7">
                        <w:pPr>
                          <w:spacing w:after="0" w:line="240" w:lineRule="auto"/>
                          <w:ind w:left="-170" w:firstLine="68"/>
                          <w:jc w:val="both"/>
                          <w:rPr>
                            <w:rFonts w:asciiTheme="minorHAnsi" w:hAnsiTheme="minorHAnsi" w:cstheme="minorHAnsi"/>
                            <w:b/>
                            <w:bCs/>
                            <w:sz w:val="18"/>
                            <w:szCs w:val="18"/>
                          </w:rPr>
                        </w:pPr>
                        <w:r w:rsidRPr="00997EF7">
                          <w:rPr>
                            <w:rFonts w:asciiTheme="minorHAnsi" w:hAnsiTheme="minorHAnsi" w:cstheme="minorHAnsi"/>
                            <w:b/>
                            <w:bCs/>
                            <w:sz w:val="18"/>
                            <w:szCs w:val="18"/>
                            <w:lang w:val="en-US"/>
                          </w:rPr>
                          <w:t>Total</w:t>
                        </w:r>
                      </w:p>
                    </w:tc>
                    <w:tc>
                      <w:tcPr>
                        <w:tcW w:w="1643" w:type="dxa"/>
                        <w:tcBorders>
                          <w:top w:val="nil"/>
                          <w:left w:val="nil"/>
                          <w:bottom w:val="double" w:sz="6" w:space="0" w:color="auto"/>
                          <w:right w:val="nil"/>
                        </w:tcBorders>
                        <w:shd w:val="clear" w:color="000000" w:fill="FFFFFF"/>
                        <w:vAlign w:val="center"/>
                        <w:hideMark/>
                      </w:tcPr>
                      <w:p w14:paraId="4291E65C" w14:textId="145C264E" w:rsidR="000469A9" w:rsidRPr="00997EF7" w:rsidRDefault="000469A9" w:rsidP="000469A9">
                        <w:pPr>
                          <w:spacing w:after="0" w:line="240" w:lineRule="auto"/>
                          <w:jc w:val="right"/>
                          <w:rPr>
                            <w:rFonts w:asciiTheme="minorHAnsi" w:hAnsiTheme="minorHAnsi" w:cstheme="minorHAnsi"/>
                            <w:b/>
                            <w:bCs/>
                            <w:sz w:val="18"/>
                            <w:szCs w:val="18"/>
                          </w:rPr>
                        </w:pPr>
                        <w:r w:rsidRPr="00997EF7">
                          <w:rPr>
                            <w:rFonts w:cs="Calibri"/>
                            <w:b/>
                            <w:bCs/>
                            <w:sz w:val="18"/>
                            <w:szCs w:val="18"/>
                          </w:rPr>
                          <w:t>87,606</w:t>
                        </w:r>
                      </w:p>
                    </w:tc>
                    <w:tc>
                      <w:tcPr>
                        <w:tcW w:w="1643" w:type="dxa"/>
                        <w:tcBorders>
                          <w:top w:val="nil"/>
                          <w:left w:val="nil"/>
                          <w:bottom w:val="double" w:sz="6" w:space="0" w:color="auto"/>
                          <w:right w:val="nil"/>
                        </w:tcBorders>
                        <w:shd w:val="clear" w:color="000000" w:fill="FFFFFF"/>
                        <w:vAlign w:val="center"/>
                        <w:hideMark/>
                      </w:tcPr>
                      <w:p w14:paraId="723F2F4F" w14:textId="77777777" w:rsidR="000469A9" w:rsidRPr="00876AEA" w:rsidRDefault="000469A9" w:rsidP="000469A9">
                        <w:pPr>
                          <w:spacing w:after="0" w:line="240" w:lineRule="auto"/>
                          <w:jc w:val="right"/>
                          <w:rPr>
                            <w:rFonts w:asciiTheme="minorHAnsi" w:hAnsiTheme="minorHAnsi" w:cstheme="minorHAnsi"/>
                            <w:sz w:val="18"/>
                            <w:szCs w:val="18"/>
                          </w:rPr>
                        </w:pPr>
                        <w:r w:rsidRPr="00876AEA">
                          <w:rPr>
                            <w:rFonts w:asciiTheme="minorHAnsi" w:hAnsiTheme="minorHAnsi" w:cstheme="minorHAnsi"/>
                            <w:sz w:val="18"/>
                            <w:szCs w:val="18"/>
                          </w:rPr>
                          <w:t>85,746</w:t>
                        </w:r>
                      </w:p>
                    </w:tc>
                    <w:tc>
                      <w:tcPr>
                        <w:tcW w:w="1644" w:type="dxa"/>
                        <w:tcBorders>
                          <w:top w:val="nil"/>
                          <w:left w:val="nil"/>
                          <w:bottom w:val="double" w:sz="6" w:space="0" w:color="auto"/>
                          <w:right w:val="nil"/>
                        </w:tcBorders>
                        <w:shd w:val="clear" w:color="000000" w:fill="FFFFFF"/>
                        <w:vAlign w:val="center"/>
                        <w:hideMark/>
                      </w:tcPr>
                      <w:p w14:paraId="7D06EC5F" w14:textId="77777777" w:rsidR="000469A9" w:rsidRPr="00876AEA" w:rsidRDefault="000469A9" w:rsidP="000469A9">
                        <w:pPr>
                          <w:spacing w:after="0" w:line="240" w:lineRule="auto"/>
                          <w:jc w:val="right"/>
                          <w:rPr>
                            <w:rFonts w:asciiTheme="minorHAnsi" w:hAnsiTheme="minorHAnsi" w:cstheme="minorHAnsi"/>
                            <w:sz w:val="18"/>
                            <w:szCs w:val="18"/>
                          </w:rPr>
                        </w:pPr>
                        <w:r w:rsidRPr="00876AEA">
                          <w:rPr>
                            <w:rFonts w:asciiTheme="minorHAnsi" w:hAnsiTheme="minorHAnsi" w:cstheme="minorHAnsi"/>
                            <w:sz w:val="18"/>
                            <w:szCs w:val="18"/>
                            <w:lang w:val="x-none"/>
                          </w:rPr>
                          <w:t>154,191</w:t>
                        </w:r>
                      </w:p>
                    </w:tc>
                  </w:tr>
                  <w:tr w:rsidR="000469A9" w:rsidRPr="00551D5A" w14:paraId="286CABDA" w14:textId="77777777" w:rsidTr="00997EF7">
                    <w:trPr>
                      <w:trHeight w:val="258"/>
                    </w:trPr>
                    <w:tc>
                      <w:tcPr>
                        <w:tcW w:w="4324" w:type="dxa"/>
                        <w:tcBorders>
                          <w:top w:val="nil"/>
                          <w:left w:val="nil"/>
                          <w:bottom w:val="double" w:sz="6" w:space="0" w:color="auto"/>
                          <w:right w:val="nil"/>
                        </w:tcBorders>
                        <w:shd w:val="clear" w:color="000000" w:fill="FFFFFF"/>
                        <w:vAlign w:val="center"/>
                        <w:hideMark/>
                      </w:tcPr>
                      <w:p w14:paraId="585E64B6" w14:textId="77777777" w:rsidR="000469A9" w:rsidRPr="00B91782" w:rsidRDefault="000469A9" w:rsidP="00997EF7">
                        <w:pPr>
                          <w:spacing w:after="0" w:line="240" w:lineRule="auto"/>
                          <w:ind w:left="-170" w:firstLine="68"/>
                          <w:jc w:val="both"/>
                          <w:rPr>
                            <w:rFonts w:asciiTheme="minorHAnsi" w:hAnsiTheme="minorHAnsi" w:cstheme="minorHAnsi"/>
                            <w:b/>
                            <w:bCs/>
                            <w:sz w:val="18"/>
                            <w:szCs w:val="18"/>
                          </w:rPr>
                        </w:pPr>
                        <w:r w:rsidRPr="00B91782">
                          <w:rPr>
                            <w:rFonts w:asciiTheme="minorHAnsi" w:hAnsiTheme="minorHAnsi" w:cstheme="minorHAnsi"/>
                            <w:b/>
                            <w:bCs/>
                            <w:sz w:val="18"/>
                            <w:szCs w:val="18"/>
                            <w:lang w:val="en-US"/>
                          </w:rPr>
                          <w:t>International sales</w:t>
                        </w:r>
                      </w:p>
                    </w:tc>
                    <w:tc>
                      <w:tcPr>
                        <w:tcW w:w="1643" w:type="dxa"/>
                        <w:tcBorders>
                          <w:top w:val="nil"/>
                          <w:left w:val="nil"/>
                          <w:bottom w:val="double" w:sz="6" w:space="0" w:color="auto"/>
                          <w:right w:val="nil"/>
                        </w:tcBorders>
                        <w:shd w:val="clear" w:color="000000" w:fill="FFFFFF"/>
                        <w:vAlign w:val="center"/>
                        <w:hideMark/>
                      </w:tcPr>
                      <w:p w14:paraId="384A7BAD" w14:textId="2E363F9A" w:rsidR="000469A9" w:rsidRPr="00997EF7" w:rsidRDefault="000469A9" w:rsidP="000469A9">
                        <w:pPr>
                          <w:spacing w:after="0" w:line="240" w:lineRule="auto"/>
                          <w:jc w:val="right"/>
                          <w:rPr>
                            <w:rFonts w:asciiTheme="minorHAnsi" w:hAnsiTheme="minorHAnsi" w:cstheme="minorHAnsi"/>
                            <w:b/>
                            <w:bCs/>
                            <w:color w:val="000000"/>
                            <w:sz w:val="18"/>
                            <w:szCs w:val="18"/>
                          </w:rPr>
                        </w:pPr>
                        <w:r w:rsidRPr="00997EF7">
                          <w:rPr>
                            <w:rFonts w:cs="Calibri"/>
                            <w:b/>
                            <w:bCs/>
                            <w:color w:val="000000"/>
                            <w:sz w:val="18"/>
                            <w:szCs w:val="18"/>
                          </w:rPr>
                          <w:t>25,037</w:t>
                        </w:r>
                      </w:p>
                    </w:tc>
                    <w:tc>
                      <w:tcPr>
                        <w:tcW w:w="1643" w:type="dxa"/>
                        <w:tcBorders>
                          <w:top w:val="nil"/>
                          <w:left w:val="nil"/>
                          <w:bottom w:val="double" w:sz="6" w:space="0" w:color="auto"/>
                          <w:right w:val="nil"/>
                        </w:tcBorders>
                        <w:shd w:val="clear" w:color="000000" w:fill="FFFFFF"/>
                        <w:vAlign w:val="center"/>
                        <w:hideMark/>
                      </w:tcPr>
                      <w:p w14:paraId="1C77625C" w14:textId="77777777" w:rsidR="000469A9" w:rsidRPr="00876AEA" w:rsidRDefault="000469A9" w:rsidP="000469A9">
                        <w:pPr>
                          <w:spacing w:after="0" w:line="240" w:lineRule="auto"/>
                          <w:jc w:val="right"/>
                          <w:rPr>
                            <w:rFonts w:asciiTheme="minorHAnsi" w:hAnsiTheme="minorHAnsi" w:cstheme="minorHAnsi"/>
                            <w:color w:val="000000"/>
                            <w:sz w:val="18"/>
                            <w:szCs w:val="18"/>
                          </w:rPr>
                        </w:pPr>
                        <w:r w:rsidRPr="00876AEA">
                          <w:rPr>
                            <w:rFonts w:asciiTheme="minorHAnsi" w:hAnsiTheme="minorHAnsi" w:cstheme="minorHAnsi"/>
                            <w:color w:val="000000"/>
                            <w:sz w:val="18"/>
                            <w:szCs w:val="18"/>
                          </w:rPr>
                          <w:t>29,028</w:t>
                        </w:r>
                      </w:p>
                    </w:tc>
                    <w:tc>
                      <w:tcPr>
                        <w:tcW w:w="1644" w:type="dxa"/>
                        <w:tcBorders>
                          <w:top w:val="nil"/>
                          <w:left w:val="nil"/>
                          <w:bottom w:val="double" w:sz="6" w:space="0" w:color="auto"/>
                          <w:right w:val="nil"/>
                        </w:tcBorders>
                        <w:shd w:val="clear" w:color="000000" w:fill="FFFFFF"/>
                        <w:vAlign w:val="center"/>
                        <w:hideMark/>
                      </w:tcPr>
                      <w:p w14:paraId="2B0513FA" w14:textId="77777777" w:rsidR="000469A9" w:rsidRPr="00876AEA" w:rsidRDefault="000469A9" w:rsidP="000469A9">
                        <w:pPr>
                          <w:spacing w:after="0" w:line="240" w:lineRule="auto"/>
                          <w:jc w:val="right"/>
                          <w:rPr>
                            <w:rFonts w:asciiTheme="minorHAnsi" w:hAnsiTheme="minorHAnsi" w:cstheme="minorHAnsi"/>
                            <w:sz w:val="18"/>
                            <w:szCs w:val="18"/>
                          </w:rPr>
                        </w:pPr>
                        <w:r w:rsidRPr="00876AEA">
                          <w:rPr>
                            <w:rFonts w:asciiTheme="minorHAnsi" w:hAnsiTheme="minorHAnsi" w:cstheme="minorHAnsi"/>
                            <w:sz w:val="18"/>
                            <w:szCs w:val="18"/>
                          </w:rPr>
                          <w:t>53,141</w:t>
                        </w:r>
                      </w:p>
                    </w:tc>
                  </w:tr>
                  <w:tr w:rsidR="000469A9" w:rsidRPr="00551D5A" w14:paraId="63A44AAA" w14:textId="77777777" w:rsidTr="00997EF7">
                    <w:trPr>
                      <w:trHeight w:val="258"/>
                    </w:trPr>
                    <w:tc>
                      <w:tcPr>
                        <w:tcW w:w="4324" w:type="dxa"/>
                        <w:tcBorders>
                          <w:top w:val="nil"/>
                          <w:left w:val="nil"/>
                          <w:bottom w:val="double" w:sz="6" w:space="0" w:color="auto"/>
                          <w:right w:val="nil"/>
                        </w:tcBorders>
                        <w:shd w:val="clear" w:color="000000" w:fill="FFFFFF"/>
                        <w:vAlign w:val="center"/>
                        <w:hideMark/>
                      </w:tcPr>
                      <w:p w14:paraId="259B33BA" w14:textId="77777777" w:rsidR="000469A9" w:rsidRPr="00B91782" w:rsidRDefault="000469A9" w:rsidP="00997EF7">
                        <w:pPr>
                          <w:spacing w:after="0" w:line="240" w:lineRule="auto"/>
                          <w:ind w:left="-170" w:firstLine="68"/>
                          <w:jc w:val="both"/>
                          <w:rPr>
                            <w:rFonts w:asciiTheme="minorHAnsi" w:hAnsiTheme="minorHAnsi" w:cstheme="minorHAnsi"/>
                            <w:b/>
                            <w:bCs/>
                            <w:sz w:val="18"/>
                            <w:szCs w:val="18"/>
                          </w:rPr>
                        </w:pPr>
                        <w:r w:rsidRPr="00B91782">
                          <w:rPr>
                            <w:rFonts w:asciiTheme="minorHAnsi" w:hAnsiTheme="minorHAnsi" w:cstheme="minorHAnsi"/>
                            <w:b/>
                            <w:bCs/>
                            <w:sz w:val="18"/>
                            <w:szCs w:val="18"/>
                            <w:lang w:val="en-US"/>
                          </w:rPr>
                          <w:t>Percentage of total revenue</w:t>
                        </w:r>
                      </w:p>
                    </w:tc>
                    <w:tc>
                      <w:tcPr>
                        <w:tcW w:w="1643" w:type="dxa"/>
                        <w:tcBorders>
                          <w:top w:val="nil"/>
                          <w:left w:val="nil"/>
                          <w:bottom w:val="double" w:sz="6" w:space="0" w:color="auto"/>
                          <w:right w:val="nil"/>
                        </w:tcBorders>
                        <w:shd w:val="clear" w:color="000000" w:fill="FFFFFF"/>
                        <w:vAlign w:val="center"/>
                        <w:hideMark/>
                      </w:tcPr>
                      <w:p w14:paraId="4E1C2655" w14:textId="7232B270" w:rsidR="000469A9" w:rsidRPr="00997EF7" w:rsidRDefault="000469A9" w:rsidP="000469A9">
                        <w:pPr>
                          <w:spacing w:after="0" w:line="240" w:lineRule="auto"/>
                          <w:jc w:val="right"/>
                          <w:rPr>
                            <w:rFonts w:asciiTheme="minorHAnsi" w:hAnsiTheme="minorHAnsi" w:cstheme="minorHAnsi"/>
                            <w:b/>
                            <w:bCs/>
                            <w:sz w:val="18"/>
                            <w:szCs w:val="18"/>
                          </w:rPr>
                        </w:pPr>
                        <w:r w:rsidRPr="00997EF7">
                          <w:rPr>
                            <w:rFonts w:cs="Calibri"/>
                            <w:b/>
                            <w:bCs/>
                            <w:sz w:val="18"/>
                            <w:szCs w:val="18"/>
                          </w:rPr>
                          <w:t>28.58%</w:t>
                        </w:r>
                      </w:p>
                    </w:tc>
                    <w:tc>
                      <w:tcPr>
                        <w:tcW w:w="1643" w:type="dxa"/>
                        <w:tcBorders>
                          <w:top w:val="nil"/>
                          <w:left w:val="nil"/>
                          <w:bottom w:val="double" w:sz="6" w:space="0" w:color="auto"/>
                          <w:right w:val="nil"/>
                        </w:tcBorders>
                        <w:shd w:val="clear" w:color="000000" w:fill="FFFFFF"/>
                        <w:vAlign w:val="center"/>
                        <w:hideMark/>
                      </w:tcPr>
                      <w:p w14:paraId="28F77AD3" w14:textId="77777777" w:rsidR="000469A9" w:rsidRPr="00876AEA" w:rsidRDefault="000469A9" w:rsidP="000469A9">
                        <w:pPr>
                          <w:spacing w:after="0" w:line="240" w:lineRule="auto"/>
                          <w:jc w:val="right"/>
                          <w:rPr>
                            <w:rFonts w:asciiTheme="minorHAnsi" w:hAnsiTheme="minorHAnsi" w:cstheme="minorHAnsi"/>
                            <w:sz w:val="18"/>
                            <w:szCs w:val="18"/>
                          </w:rPr>
                        </w:pPr>
                        <w:r w:rsidRPr="00876AEA">
                          <w:rPr>
                            <w:rFonts w:asciiTheme="minorHAnsi" w:hAnsiTheme="minorHAnsi" w:cstheme="minorHAnsi"/>
                            <w:sz w:val="18"/>
                            <w:szCs w:val="18"/>
                          </w:rPr>
                          <w:t>33.85%</w:t>
                        </w:r>
                      </w:p>
                    </w:tc>
                    <w:tc>
                      <w:tcPr>
                        <w:tcW w:w="1644" w:type="dxa"/>
                        <w:tcBorders>
                          <w:top w:val="nil"/>
                          <w:left w:val="nil"/>
                          <w:bottom w:val="double" w:sz="6" w:space="0" w:color="auto"/>
                          <w:right w:val="nil"/>
                        </w:tcBorders>
                        <w:shd w:val="clear" w:color="000000" w:fill="FFFFFF"/>
                        <w:vAlign w:val="center"/>
                        <w:hideMark/>
                      </w:tcPr>
                      <w:p w14:paraId="392FB25D" w14:textId="2002FDB5" w:rsidR="000469A9" w:rsidRPr="00876AEA" w:rsidRDefault="000469A9" w:rsidP="000469A9">
                        <w:pPr>
                          <w:spacing w:after="0" w:line="240" w:lineRule="auto"/>
                          <w:jc w:val="right"/>
                          <w:rPr>
                            <w:rFonts w:asciiTheme="minorHAnsi" w:hAnsiTheme="minorHAnsi" w:cstheme="minorHAnsi"/>
                            <w:sz w:val="18"/>
                            <w:szCs w:val="18"/>
                          </w:rPr>
                        </w:pPr>
                        <w:r w:rsidRPr="00876AEA">
                          <w:rPr>
                            <w:rFonts w:asciiTheme="minorHAnsi" w:hAnsiTheme="minorHAnsi" w:cstheme="minorHAnsi"/>
                            <w:sz w:val="18"/>
                            <w:szCs w:val="18"/>
                            <w:lang w:val="en-US"/>
                          </w:rPr>
                          <w:t>34.</w:t>
                        </w:r>
                        <w:r w:rsidR="00E352CB">
                          <w:rPr>
                            <w:rFonts w:asciiTheme="minorHAnsi" w:hAnsiTheme="minorHAnsi" w:cstheme="minorHAnsi"/>
                            <w:sz w:val="18"/>
                            <w:szCs w:val="18"/>
                            <w:lang w:val="en-US"/>
                          </w:rPr>
                          <w:t>46</w:t>
                        </w:r>
                        <w:r w:rsidRPr="00876AEA">
                          <w:rPr>
                            <w:rFonts w:asciiTheme="minorHAnsi" w:hAnsiTheme="minorHAnsi" w:cstheme="minorHAnsi"/>
                            <w:sz w:val="18"/>
                            <w:szCs w:val="18"/>
                            <w:lang w:val="en-US"/>
                          </w:rPr>
                          <w:t>%</w:t>
                        </w:r>
                      </w:p>
                    </w:tc>
                  </w:tr>
                  <w:tr w:rsidR="00F31E20" w:rsidRPr="00551D5A" w14:paraId="61B3C5FA" w14:textId="77777777" w:rsidTr="00997EF7">
                    <w:trPr>
                      <w:trHeight w:val="246"/>
                    </w:trPr>
                    <w:tc>
                      <w:tcPr>
                        <w:tcW w:w="4324" w:type="dxa"/>
                        <w:tcBorders>
                          <w:top w:val="nil"/>
                          <w:left w:val="nil"/>
                          <w:bottom w:val="nil"/>
                          <w:right w:val="nil"/>
                        </w:tcBorders>
                        <w:shd w:val="clear" w:color="000000" w:fill="FFFFFF"/>
                        <w:noWrap/>
                        <w:vAlign w:val="center"/>
                        <w:hideMark/>
                      </w:tcPr>
                      <w:p w14:paraId="5A4A5F02" w14:textId="77777777" w:rsidR="007A34B1" w:rsidRPr="00846EEE" w:rsidRDefault="007A34B1" w:rsidP="00997EF7">
                        <w:pPr>
                          <w:spacing w:after="0" w:line="240" w:lineRule="auto"/>
                          <w:ind w:left="-68" w:firstLine="68"/>
                          <w:jc w:val="both"/>
                          <w:rPr>
                            <w:rFonts w:asciiTheme="minorHAnsi" w:hAnsiTheme="minorHAnsi" w:cstheme="minorHAnsi"/>
                            <w:sz w:val="18"/>
                            <w:szCs w:val="18"/>
                          </w:rPr>
                        </w:pPr>
                        <w:r w:rsidRPr="00846EEE">
                          <w:rPr>
                            <w:rFonts w:asciiTheme="minorHAnsi" w:hAnsiTheme="minorHAnsi" w:cstheme="minorHAnsi"/>
                            <w:sz w:val="18"/>
                            <w:szCs w:val="18"/>
                            <w:lang w:val="en-US"/>
                          </w:rPr>
                          <w:t> </w:t>
                        </w:r>
                      </w:p>
                    </w:tc>
                    <w:tc>
                      <w:tcPr>
                        <w:tcW w:w="1643" w:type="dxa"/>
                        <w:tcBorders>
                          <w:top w:val="nil"/>
                          <w:left w:val="nil"/>
                          <w:bottom w:val="nil"/>
                          <w:right w:val="nil"/>
                        </w:tcBorders>
                        <w:shd w:val="clear" w:color="000000" w:fill="FFFFFF"/>
                        <w:noWrap/>
                        <w:vAlign w:val="center"/>
                        <w:hideMark/>
                      </w:tcPr>
                      <w:p w14:paraId="722BBED8" w14:textId="77777777" w:rsidR="007A34B1" w:rsidRPr="00846EEE" w:rsidRDefault="007A34B1" w:rsidP="007A34B1">
                        <w:pPr>
                          <w:spacing w:after="0" w:line="240" w:lineRule="auto"/>
                          <w:jc w:val="right"/>
                          <w:rPr>
                            <w:rFonts w:asciiTheme="minorHAnsi" w:hAnsiTheme="minorHAnsi" w:cstheme="minorHAnsi"/>
                            <w:sz w:val="18"/>
                            <w:szCs w:val="18"/>
                          </w:rPr>
                        </w:pPr>
                        <w:r w:rsidRPr="00846EEE">
                          <w:rPr>
                            <w:rFonts w:asciiTheme="minorHAnsi" w:hAnsiTheme="minorHAnsi" w:cstheme="minorHAnsi"/>
                            <w:sz w:val="18"/>
                            <w:szCs w:val="18"/>
                          </w:rPr>
                          <w:t> </w:t>
                        </w:r>
                      </w:p>
                    </w:tc>
                    <w:tc>
                      <w:tcPr>
                        <w:tcW w:w="1643" w:type="dxa"/>
                        <w:tcBorders>
                          <w:top w:val="nil"/>
                          <w:left w:val="nil"/>
                          <w:bottom w:val="nil"/>
                          <w:right w:val="nil"/>
                        </w:tcBorders>
                        <w:shd w:val="clear" w:color="000000" w:fill="FFFFFF"/>
                        <w:noWrap/>
                        <w:vAlign w:val="bottom"/>
                        <w:hideMark/>
                      </w:tcPr>
                      <w:p w14:paraId="13454C9F" w14:textId="77777777" w:rsidR="007A34B1" w:rsidRPr="00876AEA" w:rsidRDefault="007A34B1" w:rsidP="007A34B1">
                        <w:pPr>
                          <w:spacing w:after="0" w:line="240" w:lineRule="auto"/>
                          <w:jc w:val="right"/>
                          <w:rPr>
                            <w:rFonts w:asciiTheme="minorHAnsi" w:hAnsiTheme="minorHAnsi" w:cstheme="minorHAnsi"/>
                            <w:color w:val="000000"/>
                            <w:sz w:val="18"/>
                            <w:szCs w:val="18"/>
                          </w:rPr>
                        </w:pPr>
                        <w:r w:rsidRPr="00876AEA">
                          <w:rPr>
                            <w:rFonts w:asciiTheme="minorHAnsi" w:hAnsiTheme="minorHAnsi" w:cstheme="minorHAnsi"/>
                            <w:color w:val="000000"/>
                            <w:sz w:val="18"/>
                            <w:szCs w:val="18"/>
                          </w:rPr>
                          <w:t> </w:t>
                        </w:r>
                      </w:p>
                    </w:tc>
                    <w:tc>
                      <w:tcPr>
                        <w:tcW w:w="1644" w:type="dxa"/>
                        <w:tcBorders>
                          <w:top w:val="nil"/>
                          <w:left w:val="nil"/>
                          <w:bottom w:val="nil"/>
                          <w:right w:val="nil"/>
                        </w:tcBorders>
                        <w:shd w:val="clear" w:color="000000" w:fill="FFFFFF"/>
                        <w:noWrap/>
                        <w:vAlign w:val="bottom"/>
                        <w:hideMark/>
                      </w:tcPr>
                      <w:p w14:paraId="649935D1" w14:textId="77777777" w:rsidR="007A34B1" w:rsidRPr="00876AEA" w:rsidRDefault="007A34B1" w:rsidP="00F31E20">
                        <w:pPr>
                          <w:spacing w:after="0" w:line="240" w:lineRule="auto"/>
                          <w:jc w:val="right"/>
                          <w:rPr>
                            <w:rFonts w:asciiTheme="minorHAnsi" w:hAnsiTheme="minorHAnsi" w:cstheme="minorHAnsi"/>
                            <w:color w:val="000000"/>
                            <w:sz w:val="18"/>
                            <w:szCs w:val="18"/>
                          </w:rPr>
                        </w:pPr>
                        <w:r w:rsidRPr="00876AEA">
                          <w:rPr>
                            <w:rFonts w:asciiTheme="minorHAnsi" w:hAnsiTheme="minorHAnsi" w:cstheme="minorHAnsi"/>
                            <w:color w:val="000000"/>
                            <w:sz w:val="18"/>
                            <w:szCs w:val="18"/>
                          </w:rPr>
                          <w:t> </w:t>
                        </w:r>
                      </w:p>
                    </w:tc>
                  </w:tr>
                  <w:tr w:rsidR="00876AEA" w:rsidRPr="00551D5A" w14:paraId="25C4A556" w14:textId="77777777" w:rsidTr="00997EF7">
                    <w:trPr>
                      <w:trHeight w:val="377"/>
                    </w:trPr>
                    <w:tc>
                      <w:tcPr>
                        <w:tcW w:w="4324" w:type="dxa"/>
                        <w:tcBorders>
                          <w:top w:val="nil"/>
                          <w:left w:val="nil"/>
                          <w:bottom w:val="nil"/>
                          <w:right w:val="nil"/>
                        </w:tcBorders>
                        <w:shd w:val="clear" w:color="000000" w:fill="FFFFFF"/>
                        <w:vAlign w:val="center"/>
                        <w:hideMark/>
                      </w:tcPr>
                      <w:p w14:paraId="30CED5A7" w14:textId="77777777" w:rsidR="00876AEA" w:rsidRPr="00846EEE" w:rsidRDefault="00876AEA" w:rsidP="00997EF7">
                        <w:pPr>
                          <w:spacing w:after="0" w:line="240" w:lineRule="auto"/>
                          <w:ind w:left="-68" w:firstLine="68"/>
                          <w:jc w:val="both"/>
                          <w:rPr>
                            <w:rFonts w:asciiTheme="minorHAnsi" w:hAnsiTheme="minorHAnsi" w:cstheme="minorHAnsi"/>
                            <w:sz w:val="18"/>
                            <w:szCs w:val="18"/>
                          </w:rPr>
                        </w:pPr>
                        <w:r w:rsidRPr="00846EEE">
                          <w:rPr>
                            <w:rFonts w:asciiTheme="minorHAnsi" w:hAnsiTheme="minorHAnsi" w:cstheme="minorHAnsi"/>
                            <w:sz w:val="18"/>
                            <w:szCs w:val="18"/>
                            <w:lang w:val="en-US"/>
                          </w:rPr>
                          <w:t> </w:t>
                        </w:r>
                      </w:p>
                    </w:tc>
                    <w:tc>
                      <w:tcPr>
                        <w:tcW w:w="1643" w:type="dxa"/>
                        <w:tcBorders>
                          <w:top w:val="nil"/>
                          <w:left w:val="nil"/>
                          <w:bottom w:val="nil"/>
                          <w:right w:val="nil"/>
                        </w:tcBorders>
                        <w:shd w:val="clear" w:color="000000" w:fill="FFFFFF"/>
                        <w:vAlign w:val="center"/>
                        <w:hideMark/>
                      </w:tcPr>
                      <w:p w14:paraId="09E74615" w14:textId="0E994BA2" w:rsidR="00876AEA" w:rsidRPr="00846EEE" w:rsidRDefault="00876AEA" w:rsidP="00876AEA">
                        <w:pPr>
                          <w:spacing w:after="0" w:line="240" w:lineRule="auto"/>
                          <w:jc w:val="right"/>
                          <w:rPr>
                            <w:rFonts w:asciiTheme="minorHAnsi" w:hAnsiTheme="minorHAnsi" w:cstheme="minorHAnsi"/>
                            <w:b/>
                            <w:bCs/>
                            <w:sz w:val="18"/>
                            <w:szCs w:val="18"/>
                          </w:rPr>
                        </w:pPr>
                        <w:r>
                          <w:rPr>
                            <w:rFonts w:asciiTheme="minorHAnsi" w:hAnsiTheme="minorHAnsi" w:cstheme="minorHAnsi"/>
                            <w:b/>
                            <w:bCs/>
                            <w:sz w:val="18"/>
                            <w:szCs w:val="18"/>
                          </w:rPr>
                          <w:t xml:space="preserve">6 </w:t>
                        </w:r>
                        <w:r w:rsidRPr="00846EEE">
                          <w:rPr>
                            <w:rFonts w:asciiTheme="minorHAnsi" w:hAnsiTheme="minorHAnsi" w:cstheme="minorHAnsi"/>
                            <w:b/>
                            <w:bCs/>
                            <w:sz w:val="18"/>
                            <w:szCs w:val="18"/>
                          </w:rPr>
                          <w:t xml:space="preserve">months ended </w:t>
                        </w:r>
                        <w:r>
                          <w:rPr>
                            <w:rFonts w:asciiTheme="minorHAnsi" w:hAnsiTheme="minorHAnsi" w:cstheme="minorHAnsi"/>
                            <w:b/>
                            <w:bCs/>
                            <w:sz w:val="18"/>
                            <w:szCs w:val="18"/>
                          </w:rPr>
                          <w:t>31 January 2023</w:t>
                        </w:r>
                      </w:p>
                    </w:tc>
                    <w:tc>
                      <w:tcPr>
                        <w:tcW w:w="1643" w:type="dxa"/>
                        <w:tcBorders>
                          <w:top w:val="nil"/>
                          <w:left w:val="nil"/>
                          <w:bottom w:val="nil"/>
                          <w:right w:val="nil"/>
                        </w:tcBorders>
                        <w:shd w:val="clear" w:color="000000" w:fill="FFFFFF"/>
                        <w:vAlign w:val="center"/>
                        <w:hideMark/>
                      </w:tcPr>
                      <w:p w14:paraId="5FCF8276" w14:textId="77777777" w:rsidR="00876AEA" w:rsidRPr="00997EF7" w:rsidRDefault="00876AEA" w:rsidP="00876AEA">
                        <w:pPr>
                          <w:spacing w:after="0" w:line="240" w:lineRule="auto"/>
                          <w:jc w:val="right"/>
                          <w:rPr>
                            <w:rFonts w:asciiTheme="minorHAnsi" w:hAnsiTheme="minorHAnsi" w:cstheme="minorHAnsi"/>
                            <w:sz w:val="18"/>
                            <w:szCs w:val="18"/>
                          </w:rPr>
                        </w:pPr>
                        <w:r w:rsidRPr="00997EF7">
                          <w:rPr>
                            <w:rFonts w:asciiTheme="minorHAnsi" w:hAnsiTheme="minorHAnsi" w:cstheme="minorHAnsi"/>
                            <w:sz w:val="18"/>
                            <w:szCs w:val="18"/>
                          </w:rPr>
                          <w:t xml:space="preserve">6 months </w:t>
                        </w:r>
                        <w:proofErr w:type="gramStart"/>
                        <w:r w:rsidRPr="00997EF7">
                          <w:rPr>
                            <w:rFonts w:asciiTheme="minorHAnsi" w:hAnsiTheme="minorHAnsi" w:cstheme="minorHAnsi"/>
                            <w:sz w:val="18"/>
                            <w:szCs w:val="18"/>
                          </w:rPr>
                          <w:t>ended</w:t>
                        </w:r>
                        <w:proofErr w:type="gramEnd"/>
                        <w:r w:rsidRPr="00997EF7">
                          <w:rPr>
                            <w:rFonts w:asciiTheme="minorHAnsi" w:hAnsiTheme="minorHAnsi" w:cstheme="minorHAnsi"/>
                            <w:sz w:val="18"/>
                            <w:szCs w:val="18"/>
                          </w:rPr>
                          <w:t xml:space="preserve"> </w:t>
                        </w:r>
                      </w:p>
                      <w:p w14:paraId="08784203" w14:textId="0CF49677" w:rsidR="00876AEA" w:rsidRPr="00997EF7" w:rsidRDefault="00876AEA" w:rsidP="00876AEA">
                        <w:pPr>
                          <w:spacing w:after="0" w:line="240" w:lineRule="auto"/>
                          <w:jc w:val="right"/>
                          <w:rPr>
                            <w:rFonts w:asciiTheme="minorHAnsi" w:hAnsiTheme="minorHAnsi" w:cstheme="minorHAnsi"/>
                            <w:sz w:val="18"/>
                            <w:szCs w:val="18"/>
                          </w:rPr>
                        </w:pPr>
                        <w:r w:rsidRPr="00997EF7">
                          <w:rPr>
                            <w:rFonts w:asciiTheme="minorHAnsi" w:hAnsiTheme="minorHAnsi" w:cstheme="minorHAnsi"/>
                            <w:sz w:val="18"/>
                            <w:szCs w:val="18"/>
                          </w:rPr>
                          <w:t>31 January 2022</w:t>
                        </w:r>
                      </w:p>
                    </w:tc>
                    <w:tc>
                      <w:tcPr>
                        <w:tcW w:w="1644" w:type="dxa"/>
                        <w:tcBorders>
                          <w:top w:val="nil"/>
                          <w:left w:val="nil"/>
                          <w:bottom w:val="nil"/>
                          <w:right w:val="nil"/>
                        </w:tcBorders>
                        <w:shd w:val="clear" w:color="000000" w:fill="FFFFFF"/>
                        <w:vAlign w:val="center"/>
                        <w:hideMark/>
                      </w:tcPr>
                      <w:p w14:paraId="793F57A6" w14:textId="77777777" w:rsidR="00876AEA" w:rsidRPr="00997EF7" w:rsidRDefault="00876AEA" w:rsidP="00876AEA">
                        <w:pPr>
                          <w:spacing w:after="0" w:line="240" w:lineRule="auto"/>
                          <w:jc w:val="right"/>
                          <w:rPr>
                            <w:rFonts w:asciiTheme="minorHAnsi" w:hAnsiTheme="minorHAnsi" w:cstheme="minorHAnsi"/>
                            <w:sz w:val="18"/>
                            <w:szCs w:val="18"/>
                            <w:lang w:val="en-US"/>
                          </w:rPr>
                        </w:pPr>
                        <w:r w:rsidRPr="00997EF7">
                          <w:rPr>
                            <w:rFonts w:asciiTheme="minorHAnsi" w:hAnsiTheme="minorHAnsi" w:cstheme="minorHAnsi"/>
                            <w:sz w:val="18"/>
                            <w:szCs w:val="18"/>
                            <w:lang w:val="en-US"/>
                          </w:rPr>
                          <w:t xml:space="preserve">Year </w:t>
                        </w:r>
                        <w:proofErr w:type="gramStart"/>
                        <w:r w:rsidRPr="00997EF7">
                          <w:rPr>
                            <w:rFonts w:asciiTheme="minorHAnsi" w:hAnsiTheme="minorHAnsi" w:cstheme="minorHAnsi"/>
                            <w:sz w:val="18"/>
                            <w:szCs w:val="18"/>
                            <w:lang w:val="en-US"/>
                          </w:rPr>
                          <w:t>ended</w:t>
                        </w:r>
                        <w:proofErr w:type="gramEnd"/>
                        <w:r w:rsidRPr="00997EF7">
                          <w:rPr>
                            <w:rFonts w:asciiTheme="minorHAnsi" w:hAnsiTheme="minorHAnsi" w:cstheme="minorHAnsi"/>
                            <w:sz w:val="18"/>
                            <w:szCs w:val="18"/>
                            <w:lang w:val="en-US"/>
                          </w:rPr>
                          <w:t xml:space="preserve"> </w:t>
                        </w:r>
                      </w:p>
                      <w:p w14:paraId="08893147" w14:textId="1E3D1625" w:rsidR="00876AEA" w:rsidRPr="00997EF7" w:rsidRDefault="00876AEA" w:rsidP="00876AEA">
                        <w:pPr>
                          <w:spacing w:after="0" w:line="240" w:lineRule="auto"/>
                          <w:jc w:val="right"/>
                          <w:rPr>
                            <w:rFonts w:asciiTheme="minorHAnsi" w:hAnsiTheme="minorHAnsi" w:cstheme="minorHAnsi"/>
                            <w:sz w:val="18"/>
                            <w:szCs w:val="18"/>
                          </w:rPr>
                        </w:pPr>
                        <w:r w:rsidRPr="00997EF7">
                          <w:rPr>
                            <w:rFonts w:asciiTheme="minorHAnsi" w:hAnsiTheme="minorHAnsi" w:cstheme="minorHAnsi"/>
                            <w:sz w:val="18"/>
                            <w:szCs w:val="18"/>
                            <w:lang w:val="en-US"/>
                          </w:rPr>
                          <w:t>31 July 2022</w:t>
                        </w:r>
                      </w:p>
                    </w:tc>
                  </w:tr>
                  <w:tr w:rsidR="00BC25D7" w:rsidRPr="00551D5A" w14:paraId="736696D1" w14:textId="77777777" w:rsidTr="00997EF7">
                    <w:trPr>
                      <w:trHeight w:val="246"/>
                    </w:trPr>
                    <w:tc>
                      <w:tcPr>
                        <w:tcW w:w="4324" w:type="dxa"/>
                        <w:tcBorders>
                          <w:top w:val="nil"/>
                          <w:left w:val="nil"/>
                          <w:bottom w:val="single" w:sz="8" w:space="0" w:color="auto"/>
                          <w:right w:val="nil"/>
                        </w:tcBorders>
                        <w:shd w:val="clear" w:color="000000" w:fill="FFFFFF"/>
                        <w:vAlign w:val="center"/>
                        <w:hideMark/>
                      </w:tcPr>
                      <w:p w14:paraId="770F6956" w14:textId="77777777" w:rsidR="00BC25D7" w:rsidRPr="00846EEE" w:rsidRDefault="00BC25D7" w:rsidP="00997EF7">
                        <w:pPr>
                          <w:spacing w:after="0" w:line="240" w:lineRule="auto"/>
                          <w:ind w:left="-170" w:firstLine="68"/>
                          <w:jc w:val="both"/>
                          <w:rPr>
                            <w:rFonts w:asciiTheme="minorHAnsi" w:hAnsiTheme="minorHAnsi" w:cstheme="minorHAnsi"/>
                            <w:b/>
                            <w:bCs/>
                            <w:sz w:val="18"/>
                            <w:szCs w:val="18"/>
                          </w:rPr>
                        </w:pPr>
                        <w:r w:rsidRPr="00846EEE">
                          <w:rPr>
                            <w:rFonts w:asciiTheme="minorHAnsi" w:hAnsiTheme="minorHAnsi" w:cstheme="minorHAnsi"/>
                            <w:b/>
                            <w:bCs/>
                            <w:sz w:val="18"/>
                            <w:szCs w:val="18"/>
                            <w:lang w:val="en-US"/>
                          </w:rPr>
                          <w:t>Analysis of revenue by brand:</w:t>
                        </w:r>
                      </w:p>
                    </w:tc>
                    <w:tc>
                      <w:tcPr>
                        <w:tcW w:w="1643" w:type="dxa"/>
                        <w:tcBorders>
                          <w:top w:val="nil"/>
                          <w:left w:val="nil"/>
                          <w:bottom w:val="single" w:sz="8" w:space="0" w:color="auto"/>
                          <w:right w:val="nil"/>
                        </w:tcBorders>
                        <w:shd w:val="clear" w:color="000000" w:fill="FFFFFF"/>
                        <w:vAlign w:val="center"/>
                        <w:hideMark/>
                      </w:tcPr>
                      <w:p w14:paraId="254903A7" w14:textId="7BA01F76" w:rsidR="00BC25D7" w:rsidRPr="00846EEE" w:rsidRDefault="00BC25D7" w:rsidP="00BC25D7">
                        <w:pPr>
                          <w:spacing w:after="0" w:line="240" w:lineRule="auto"/>
                          <w:jc w:val="right"/>
                          <w:rPr>
                            <w:rFonts w:asciiTheme="minorHAnsi" w:hAnsiTheme="minorHAnsi" w:cstheme="minorHAnsi"/>
                            <w:sz w:val="18"/>
                            <w:szCs w:val="18"/>
                          </w:rPr>
                        </w:pPr>
                        <w:r w:rsidRPr="00846EEE">
                          <w:rPr>
                            <w:rFonts w:asciiTheme="minorHAnsi" w:hAnsiTheme="minorHAnsi" w:cstheme="minorHAnsi"/>
                            <w:b/>
                            <w:bCs/>
                            <w:sz w:val="18"/>
                            <w:szCs w:val="18"/>
                            <w:lang w:val="en-US"/>
                          </w:rPr>
                          <w:t>£’000</w:t>
                        </w:r>
                      </w:p>
                    </w:tc>
                    <w:tc>
                      <w:tcPr>
                        <w:tcW w:w="1643" w:type="dxa"/>
                        <w:tcBorders>
                          <w:top w:val="nil"/>
                          <w:left w:val="nil"/>
                          <w:bottom w:val="single" w:sz="8" w:space="0" w:color="auto"/>
                          <w:right w:val="nil"/>
                        </w:tcBorders>
                        <w:shd w:val="clear" w:color="000000" w:fill="FFFFFF"/>
                        <w:vAlign w:val="center"/>
                        <w:hideMark/>
                      </w:tcPr>
                      <w:p w14:paraId="7D1DD76F" w14:textId="68357777" w:rsidR="00BC25D7" w:rsidRPr="00876AEA" w:rsidRDefault="00BC25D7" w:rsidP="00BC25D7">
                        <w:pPr>
                          <w:spacing w:after="0" w:line="240" w:lineRule="auto"/>
                          <w:jc w:val="right"/>
                          <w:rPr>
                            <w:rFonts w:asciiTheme="minorHAnsi" w:hAnsiTheme="minorHAnsi" w:cstheme="minorHAnsi"/>
                            <w:sz w:val="18"/>
                            <w:szCs w:val="18"/>
                          </w:rPr>
                        </w:pPr>
                        <w:r w:rsidRPr="00997EF7">
                          <w:rPr>
                            <w:rFonts w:asciiTheme="minorHAnsi" w:hAnsiTheme="minorHAnsi" w:cstheme="minorHAnsi"/>
                            <w:sz w:val="18"/>
                            <w:szCs w:val="18"/>
                            <w:lang w:val="en-US"/>
                          </w:rPr>
                          <w:t>£’000</w:t>
                        </w:r>
                      </w:p>
                    </w:tc>
                    <w:tc>
                      <w:tcPr>
                        <w:tcW w:w="1644" w:type="dxa"/>
                        <w:tcBorders>
                          <w:top w:val="nil"/>
                          <w:left w:val="nil"/>
                          <w:bottom w:val="single" w:sz="8" w:space="0" w:color="auto"/>
                          <w:right w:val="nil"/>
                        </w:tcBorders>
                        <w:shd w:val="clear" w:color="000000" w:fill="FFFFFF"/>
                        <w:vAlign w:val="center"/>
                        <w:hideMark/>
                      </w:tcPr>
                      <w:p w14:paraId="7CDEBF3F" w14:textId="187D1546" w:rsidR="00BC25D7" w:rsidRPr="00876AEA" w:rsidRDefault="00BC25D7" w:rsidP="00BC25D7">
                        <w:pPr>
                          <w:spacing w:after="0" w:line="240" w:lineRule="auto"/>
                          <w:jc w:val="right"/>
                          <w:rPr>
                            <w:rFonts w:asciiTheme="minorHAnsi" w:hAnsiTheme="minorHAnsi" w:cstheme="minorHAnsi"/>
                            <w:sz w:val="18"/>
                            <w:szCs w:val="18"/>
                          </w:rPr>
                        </w:pPr>
                        <w:r w:rsidRPr="00997EF7">
                          <w:rPr>
                            <w:rFonts w:asciiTheme="minorHAnsi" w:hAnsiTheme="minorHAnsi" w:cstheme="minorHAnsi"/>
                            <w:sz w:val="18"/>
                            <w:szCs w:val="18"/>
                            <w:lang w:val="en-US"/>
                          </w:rPr>
                          <w:t>£’000</w:t>
                        </w:r>
                      </w:p>
                    </w:tc>
                  </w:tr>
                  <w:tr w:rsidR="000469A9" w:rsidRPr="00551D5A" w14:paraId="794114E6" w14:textId="77777777" w:rsidTr="00997EF7">
                    <w:trPr>
                      <w:trHeight w:val="234"/>
                    </w:trPr>
                    <w:tc>
                      <w:tcPr>
                        <w:tcW w:w="4324" w:type="dxa"/>
                        <w:tcBorders>
                          <w:top w:val="nil"/>
                          <w:left w:val="nil"/>
                          <w:bottom w:val="nil"/>
                          <w:right w:val="nil"/>
                        </w:tcBorders>
                        <w:shd w:val="clear" w:color="000000" w:fill="FFFFFF"/>
                        <w:vAlign w:val="center"/>
                        <w:hideMark/>
                      </w:tcPr>
                      <w:p w14:paraId="45B64A2C" w14:textId="77777777" w:rsidR="000469A9" w:rsidRPr="00846EEE" w:rsidRDefault="000469A9" w:rsidP="00997EF7">
                        <w:pPr>
                          <w:spacing w:after="0" w:line="240" w:lineRule="auto"/>
                          <w:ind w:left="-170" w:firstLine="68"/>
                          <w:jc w:val="both"/>
                          <w:rPr>
                            <w:rFonts w:asciiTheme="minorHAnsi" w:hAnsiTheme="minorHAnsi" w:cstheme="minorHAnsi"/>
                            <w:sz w:val="18"/>
                            <w:szCs w:val="18"/>
                          </w:rPr>
                        </w:pPr>
                        <w:r w:rsidRPr="00846EEE">
                          <w:rPr>
                            <w:rFonts w:asciiTheme="minorHAnsi" w:hAnsiTheme="minorHAnsi" w:cstheme="minorHAnsi"/>
                            <w:sz w:val="18"/>
                            <w:szCs w:val="18"/>
                            <w:lang w:val="en-US"/>
                          </w:rPr>
                          <w:t>Salter</w:t>
                        </w:r>
                      </w:p>
                    </w:tc>
                    <w:tc>
                      <w:tcPr>
                        <w:tcW w:w="1643" w:type="dxa"/>
                        <w:tcBorders>
                          <w:top w:val="nil"/>
                          <w:left w:val="nil"/>
                          <w:bottom w:val="nil"/>
                          <w:right w:val="nil"/>
                        </w:tcBorders>
                        <w:shd w:val="clear" w:color="000000" w:fill="FFFFFF"/>
                        <w:vAlign w:val="center"/>
                        <w:hideMark/>
                      </w:tcPr>
                      <w:p w14:paraId="7D484F8D" w14:textId="1DF45512" w:rsidR="000469A9" w:rsidRPr="00846EEE" w:rsidRDefault="000469A9" w:rsidP="000469A9">
                        <w:pPr>
                          <w:spacing w:after="0" w:line="240" w:lineRule="auto"/>
                          <w:jc w:val="right"/>
                          <w:rPr>
                            <w:rFonts w:asciiTheme="minorHAnsi" w:hAnsiTheme="minorHAnsi" w:cstheme="minorHAnsi"/>
                            <w:sz w:val="18"/>
                            <w:szCs w:val="18"/>
                          </w:rPr>
                        </w:pPr>
                        <w:r>
                          <w:rPr>
                            <w:rFonts w:cs="Calibri"/>
                            <w:sz w:val="18"/>
                            <w:szCs w:val="18"/>
                          </w:rPr>
                          <w:t>35,219</w:t>
                        </w:r>
                      </w:p>
                    </w:tc>
                    <w:tc>
                      <w:tcPr>
                        <w:tcW w:w="1643" w:type="dxa"/>
                        <w:tcBorders>
                          <w:top w:val="nil"/>
                          <w:left w:val="nil"/>
                          <w:bottom w:val="nil"/>
                          <w:right w:val="nil"/>
                        </w:tcBorders>
                        <w:shd w:val="clear" w:color="000000" w:fill="FFFFFF"/>
                        <w:vAlign w:val="center"/>
                        <w:hideMark/>
                      </w:tcPr>
                      <w:p w14:paraId="5A20BEB2" w14:textId="77777777" w:rsidR="000469A9" w:rsidRPr="00876AEA" w:rsidRDefault="000469A9" w:rsidP="000469A9">
                        <w:pPr>
                          <w:spacing w:after="0" w:line="240" w:lineRule="auto"/>
                          <w:jc w:val="right"/>
                          <w:rPr>
                            <w:rFonts w:asciiTheme="minorHAnsi" w:hAnsiTheme="minorHAnsi" w:cstheme="minorHAnsi"/>
                            <w:sz w:val="18"/>
                            <w:szCs w:val="18"/>
                          </w:rPr>
                        </w:pPr>
                        <w:r w:rsidRPr="00876AEA">
                          <w:rPr>
                            <w:rFonts w:asciiTheme="minorHAnsi" w:hAnsiTheme="minorHAnsi" w:cstheme="minorHAnsi"/>
                            <w:sz w:val="18"/>
                            <w:szCs w:val="18"/>
                          </w:rPr>
                          <w:t>26,097</w:t>
                        </w:r>
                      </w:p>
                    </w:tc>
                    <w:tc>
                      <w:tcPr>
                        <w:tcW w:w="1644" w:type="dxa"/>
                        <w:tcBorders>
                          <w:top w:val="nil"/>
                          <w:left w:val="nil"/>
                          <w:bottom w:val="nil"/>
                          <w:right w:val="nil"/>
                        </w:tcBorders>
                        <w:shd w:val="clear" w:color="000000" w:fill="FFFFFF"/>
                        <w:vAlign w:val="center"/>
                        <w:hideMark/>
                      </w:tcPr>
                      <w:p w14:paraId="354090DA" w14:textId="77777777" w:rsidR="000469A9" w:rsidRPr="00876AEA" w:rsidRDefault="000469A9" w:rsidP="000469A9">
                        <w:pPr>
                          <w:spacing w:after="0" w:line="240" w:lineRule="auto"/>
                          <w:jc w:val="right"/>
                          <w:rPr>
                            <w:rFonts w:asciiTheme="minorHAnsi" w:hAnsiTheme="minorHAnsi" w:cstheme="minorHAnsi"/>
                            <w:sz w:val="18"/>
                            <w:szCs w:val="18"/>
                          </w:rPr>
                        </w:pPr>
                        <w:r w:rsidRPr="00876AEA">
                          <w:rPr>
                            <w:rFonts w:asciiTheme="minorHAnsi" w:hAnsiTheme="minorHAnsi" w:cstheme="minorHAnsi"/>
                            <w:sz w:val="18"/>
                            <w:szCs w:val="18"/>
                            <w:lang w:val="x-none"/>
                          </w:rPr>
                          <w:t>48,080</w:t>
                        </w:r>
                      </w:p>
                    </w:tc>
                  </w:tr>
                  <w:tr w:rsidR="000469A9" w:rsidRPr="00551D5A" w14:paraId="3294172F" w14:textId="77777777" w:rsidTr="00997EF7">
                    <w:trPr>
                      <w:trHeight w:val="234"/>
                    </w:trPr>
                    <w:tc>
                      <w:tcPr>
                        <w:tcW w:w="4324" w:type="dxa"/>
                        <w:tcBorders>
                          <w:top w:val="nil"/>
                          <w:left w:val="nil"/>
                          <w:bottom w:val="nil"/>
                          <w:right w:val="nil"/>
                        </w:tcBorders>
                        <w:shd w:val="clear" w:color="000000" w:fill="FFFFFF"/>
                        <w:vAlign w:val="center"/>
                        <w:hideMark/>
                      </w:tcPr>
                      <w:p w14:paraId="227118D2" w14:textId="77777777" w:rsidR="000469A9" w:rsidRPr="00846EEE" w:rsidRDefault="000469A9" w:rsidP="00997EF7">
                        <w:pPr>
                          <w:spacing w:after="0" w:line="240" w:lineRule="auto"/>
                          <w:ind w:left="-170" w:firstLine="68"/>
                          <w:jc w:val="both"/>
                          <w:rPr>
                            <w:rFonts w:asciiTheme="minorHAnsi" w:hAnsiTheme="minorHAnsi" w:cstheme="minorHAnsi"/>
                            <w:sz w:val="18"/>
                            <w:szCs w:val="18"/>
                          </w:rPr>
                        </w:pPr>
                        <w:proofErr w:type="spellStart"/>
                        <w:r w:rsidRPr="00846EEE">
                          <w:rPr>
                            <w:rFonts w:asciiTheme="minorHAnsi" w:hAnsiTheme="minorHAnsi" w:cstheme="minorHAnsi"/>
                            <w:sz w:val="18"/>
                            <w:szCs w:val="18"/>
                            <w:lang w:val="en-US"/>
                          </w:rPr>
                          <w:t>Beldray</w:t>
                        </w:r>
                        <w:proofErr w:type="spellEnd"/>
                      </w:p>
                    </w:tc>
                    <w:tc>
                      <w:tcPr>
                        <w:tcW w:w="1643" w:type="dxa"/>
                        <w:tcBorders>
                          <w:top w:val="nil"/>
                          <w:left w:val="nil"/>
                          <w:bottom w:val="nil"/>
                          <w:right w:val="nil"/>
                        </w:tcBorders>
                        <w:shd w:val="clear" w:color="000000" w:fill="FFFFFF"/>
                        <w:vAlign w:val="center"/>
                        <w:hideMark/>
                      </w:tcPr>
                      <w:p w14:paraId="67D1EDE1" w14:textId="41705A0C" w:rsidR="000469A9" w:rsidRPr="00846EEE" w:rsidRDefault="000469A9" w:rsidP="000469A9">
                        <w:pPr>
                          <w:spacing w:after="0" w:line="240" w:lineRule="auto"/>
                          <w:jc w:val="right"/>
                          <w:rPr>
                            <w:rFonts w:asciiTheme="minorHAnsi" w:hAnsiTheme="minorHAnsi" w:cstheme="minorHAnsi"/>
                            <w:sz w:val="18"/>
                            <w:szCs w:val="18"/>
                          </w:rPr>
                        </w:pPr>
                        <w:r>
                          <w:rPr>
                            <w:rFonts w:cs="Calibri"/>
                            <w:sz w:val="18"/>
                            <w:szCs w:val="18"/>
                          </w:rPr>
                          <w:t>17,174</w:t>
                        </w:r>
                      </w:p>
                    </w:tc>
                    <w:tc>
                      <w:tcPr>
                        <w:tcW w:w="1643" w:type="dxa"/>
                        <w:tcBorders>
                          <w:top w:val="nil"/>
                          <w:left w:val="nil"/>
                          <w:bottom w:val="nil"/>
                          <w:right w:val="nil"/>
                        </w:tcBorders>
                        <w:shd w:val="clear" w:color="000000" w:fill="FFFFFF"/>
                        <w:vAlign w:val="center"/>
                        <w:hideMark/>
                      </w:tcPr>
                      <w:p w14:paraId="7B9FB66A" w14:textId="77777777" w:rsidR="000469A9" w:rsidRPr="00876AEA" w:rsidRDefault="000469A9" w:rsidP="000469A9">
                        <w:pPr>
                          <w:spacing w:after="0" w:line="240" w:lineRule="auto"/>
                          <w:jc w:val="right"/>
                          <w:rPr>
                            <w:rFonts w:asciiTheme="minorHAnsi" w:hAnsiTheme="minorHAnsi" w:cstheme="minorHAnsi"/>
                            <w:sz w:val="18"/>
                            <w:szCs w:val="18"/>
                          </w:rPr>
                        </w:pPr>
                        <w:r w:rsidRPr="00876AEA">
                          <w:rPr>
                            <w:rFonts w:asciiTheme="minorHAnsi" w:hAnsiTheme="minorHAnsi" w:cstheme="minorHAnsi"/>
                            <w:sz w:val="18"/>
                            <w:szCs w:val="18"/>
                          </w:rPr>
                          <w:t>23,892</w:t>
                        </w:r>
                      </w:p>
                    </w:tc>
                    <w:tc>
                      <w:tcPr>
                        <w:tcW w:w="1644" w:type="dxa"/>
                        <w:tcBorders>
                          <w:top w:val="nil"/>
                          <w:left w:val="nil"/>
                          <w:bottom w:val="nil"/>
                          <w:right w:val="nil"/>
                        </w:tcBorders>
                        <w:shd w:val="clear" w:color="000000" w:fill="FFFFFF"/>
                        <w:vAlign w:val="center"/>
                        <w:hideMark/>
                      </w:tcPr>
                      <w:p w14:paraId="3925ED01" w14:textId="77777777" w:rsidR="000469A9" w:rsidRPr="00876AEA" w:rsidRDefault="000469A9" w:rsidP="000469A9">
                        <w:pPr>
                          <w:spacing w:after="0" w:line="240" w:lineRule="auto"/>
                          <w:jc w:val="right"/>
                          <w:rPr>
                            <w:rFonts w:asciiTheme="minorHAnsi" w:hAnsiTheme="minorHAnsi" w:cstheme="minorHAnsi"/>
                            <w:sz w:val="18"/>
                            <w:szCs w:val="18"/>
                          </w:rPr>
                        </w:pPr>
                        <w:r w:rsidRPr="00876AEA">
                          <w:rPr>
                            <w:rFonts w:asciiTheme="minorHAnsi" w:hAnsiTheme="minorHAnsi" w:cstheme="minorHAnsi"/>
                            <w:sz w:val="18"/>
                            <w:szCs w:val="18"/>
                            <w:lang w:val="x-none"/>
                          </w:rPr>
                          <w:t>39,950</w:t>
                        </w:r>
                      </w:p>
                    </w:tc>
                  </w:tr>
                  <w:tr w:rsidR="000469A9" w:rsidRPr="00551D5A" w14:paraId="24AFCB86" w14:textId="77777777" w:rsidTr="00997EF7">
                    <w:trPr>
                      <w:trHeight w:val="234"/>
                    </w:trPr>
                    <w:tc>
                      <w:tcPr>
                        <w:tcW w:w="4324" w:type="dxa"/>
                        <w:tcBorders>
                          <w:top w:val="nil"/>
                          <w:left w:val="nil"/>
                          <w:bottom w:val="nil"/>
                          <w:right w:val="nil"/>
                        </w:tcBorders>
                        <w:shd w:val="clear" w:color="000000" w:fill="FFFFFF"/>
                        <w:vAlign w:val="center"/>
                        <w:hideMark/>
                      </w:tcPr>
                      <w:p w14:paraId="0EA4B088" w14:textId="77777777" w:rsidR="000469A9" w:rsidRPr="00846EEE" w:rsidRDefault="000469A9" w:rsidP="00997EF7">
                        <w:pPr>
                          <w:spacing w:after="0" w:line="240" w:lineRule="auto"/>
                          <w:ind w:left="-170" w:firstLine="68"/>
                          <w:jc w:val="both"/>
                          <w:rPr>
                            <w:rFonts w:asciiTheme="minorHAnsi" w:hAnsiTheme="minorHAnsi" w:cstheme="minorHAnsi"/>
                            <w:sz w:val="18"/>
                            <w:szCs w:val="18"/>
                          </w:rPr>
                        </w:pPr>
                        <w:r w:rsidRPr="00846EEE">
                          <w:rPr>
                            <w:rFonts w:asciiTheme="minorHAnsi" w:hAnsiTheme="minorHAnsi" w:cstheme="minorHAnsi"/>
                            <w:sz w:val="18"/>
                            <w:szCs w:val="18"/>
                            <w:lang w:val="en-US"/>
                          </w:rPr>
                          <w:t>Russell Hobbs (licensed)</w:t>
                        </w:r>
                      </w:p>
                    </w:tc>
                    <w:tc>
                      <w:tcPr>
                        <w:tcW w:w="1643" w:type="dxa"/>
                        <w:tcBorders>
                          <w:top w:val="nil"/>
                          <w:left w:val="nil"/>
                          <w:bottom w:val="nil"/>
                          <w:right w:val="nil"/>
                        </w:tcBorders>
                        <w:shd w:val="clear" w:color="000000" w:fill="FFFFFF"/>
                        <w:vAlign w:val="center"/>
                        <w:hideMark/>
                      </w:tcPr>
                      <w:p w14:paraId="5F1509FA" w14:textId="0E3B5548" w:rsidR="000469A9" w:rsidRPr="00846EEE" w:rsidRDefault="000469A9" w:rsidP="000469A9">
                        <w:pPr>
                          <w:spacing w:after="0" w:line="240" w:lineRule="auto"/>
                          <w:jc w:val="right"/>
                          <w:rPr>
                            <w:rFonts w:asciiTheme="minorHAnsi" w:hAnsiTheme="minorHAnsi" w:cstheme="minorHAnsi"/>
                            <w:sz w:val="18"/>
                            <w:szCs w:val="18"/>
                          </w:rPr>
                        </w:pPr>
                        <w:r>
                          <w:rPr>
                            <w:rFonts w:cs="Calibri"/>
                            <w:sz w:val="18"/>
                            <w:szCs w:val="18"/>
                          </w:rPr>
                          <w:t>10,546</w:t>
                        </w:r>
                      </w:p>
                    </w:tc>
                    <w:tc>
                      <w:tcPr>
                        <w:tcW w:w="1643" w:type="dxa"/>
                        <w:tcBorders>
                          <w:top w:val="nil"/>
                          <w:left w:val="nil"/>
                          <w:bottom w:val="nil"/>
                          <w:right w:val="nil"/>
                        </w:tcBorders>
                        <w:shd w:val="clear" w:color="000000" w:fill="FFFFFF"/>
                        <w:vAlign w:val="center"/>
                        <w:hideMark/>
                      </w:tcPr>
                      <w:p w14:paraId="452C9AFB" w14:textId="77777777" w:rsidR="000469A9" w:rsidRPr="00876AEA" w:rsidRDefault="000469A9" w:rsidP="000469A9">
                        <w:pPr>
                          <w:spacing w:after="0" w:line="240" w:lineRule="auto"/>
                          <w:jc w:val="right"/>
                          <w:rPr>
                            <w:rFonts w:asciiTheme="minorHAnsi" w:hAnsiTheme="minorHAnsi" w:cstheme="minorHAnsi"/>
                            <w:sz w:val="18"/>
                            <w:szCs w:val="18"/>
                          </w:rPr>
                        </w:pPr>
                        <w:r w:rsidRPr="00876AEA">
                          <w:rPr>
                            <w:rFonts w:asciiTheme="minorHAnsi" w:hAnsiTheme="minorHAnsi" w:cstheme="minorHAnsi"/>
                            <w:sz w:val="18"/>
                            <w:szCs w:val="18"/>
                          </w:rPr>
                          <w:t>13,371</w:t>
                        </w:r>
                      </w:p>
                    </w:tc>
                    <w:tc>
                      <w:tcPr>
                        <w:tcW w:w="1644" w:type="dxa"/>
                        <w:tcBorders>
                          <w:top w:val="nil"/>
                          <w:left w:val="nil"/>
                          <w:bottom w:val="nil"/>
                          <w:right w:val="nil"/>
                        </w:tcBorders>
                        <w:shd w:val="clear" w:color="000000" w:fill="FFFFFF"/>
                        <w:vAlign w:val="center"/>
                        <w:hideMark/>
                      </w:tcPr>
                      <w:p w14:paraId="5B425CE2" w14:textId="77777777" w:rsidR="000469A9" w:rsidRPr="00876AEA" w:rsidRDefault="000469A9" w:rsidP="000469A9">
                        <w:pPr>
                          <w:spacing w:after="0" w:line="240" w:lineRule="auto"/>
                          <w:jc w:val="right"/>
                          <w:rPr>
                            <w:rFonts w:asciiTheme="minorHAnsi" w:hAnsiTheme="minorHAnsi" w:cstheme="minorHAnsi"/>
                            <w:sz w:val="18"/>
                            <w:szCs w:val="18"/>
                          </w:rPr>
                        </w:pPr>
                        <w:r w:rsidRPr="00876AEA">
                          <w:rPr>
                            <w:rFonts w:asciiTheme="minorHAnsi" w:hAnsiTheme="minorHAnsi" w:cstheme="minorHAnsi"/>
                            <w:sz w:val="18"/>
                            <w:szCs w:val="18"/>
                            <w:lang w:val="x-none"/>
                          </w:rPr>
                          <w:t>20,165</w:t>
                        </w:r>
                      </w:p>
                    </w:tc>
                  </w:tr>
                  <w:tr w:rsidR="000469A9" w:rsidRPr="00551D5A" w14:paraId="20E0BBD9" w14:textId="77777777" w:rsidTr="00997EF7">
                    <w:trPr>
                      <w:trHeight w:val="234"/>
                    </w:trPr>
                    <w:tc>
                      <w:tcPr>
                        <w:tcW w:w="4324" w:type="dxa"/>
                        <w:tcBorders>
                          <w:top w:val="nil"/>
                          <w:left w:val="nil"/>
                          <w:bottom w:val="nil"/>
                          <w:right w:val="nil"/>
                        </w:tcBorders>
                        <w:shd w:val="clear" w:color="000000" w:fill="FFFFFF"/>
                        <w:vAlign w:val="center"/>
                        <w:hideMark/>
                      </w:tcPr>
                      <w:p w14:paraId="356D6E4C" w14:textId="77777777" w:rsidR="000469A9" w:rsidRPr="00846EEE" w:rsidRDefault="000469A9" w:rsidP="00997EF7">
                        <w:pPr>
                          <w:spacing w:after="0" w:line="240" w:lineRule="auto"/>
                          <w:ind w:left="-170" w:firstLine="68"/>
                          <w:jc w:val="both"/>
                          <w:rPr>
                            <w:rFonts w:asciiTheme="minorHAnsi" w:hAnsiTheme="minorHAnsi" w:cstheme="minorHAnsi"/>
                            <w:sz w:val="18"/>
                            <w:szCs w:val="18"/>
                          </w:rPr>
                        </w:pPr>
                        <w:r w:rsidRPr="00846EEE">
                          <w:rPr>
                            <w:rFonts w:asciiTheme="minorHAnsi" w:hAnsiTheme="minorHAnsi" w:cstheme="minorHAnsi"/>
                            <w:sz w:val="18"/>
                            <w:szCs w:val="18"/>
                            <w:lang w:val="en-US"/>
                          </w:rPr>
                          <w:t>Progress</w:t>
                        </w:r>
                      </w:p>
                    </w:tc>
                    <w:tc>
                      <w:tcPr>
                        <w:tcW w:w="1643" w:type="dxa"/>
                        <w:tcBorders>
                          <w:top w:val="nil"/>
                          <w:left w:val="nil"/>
                          <w:bottom w:val="nil"/>
                          <w:right w:val="nil"/>
                        </w:tcBorders>
                        <w:shd w:val="clear" w:color="000000" w:fill="FFFFFF"/>
                        <w:vAlign w:val="center"/>
                        <w:hideMark/>
                      </w:tcPr>
                      <w:p w14:paraId="422D37DF" w14:textId="1543533F" w:rsidR="000469A9" w:rsidRPr="00846EEE" w:rsidRDefault="000469A9" w:rsidP="000469A9">
                        <w:pPr>
                          <w:spacing w:after="0" w:line="240" w:lineRule="auto"/>
                          <w:jc w:val="right"/>
                          <w:rPr>
                            <w:rFonts w:asciiTheme="minorHAnsi" w:hAnsiTheme="minorHAnsi" w:cstheme="minorHAnsi"/>
                            <w:sz w:val="18"/>
                            <w:szCs w:val="18"/>
                          </w:rPr>
                        </w:pPr>
                        <w:r>
                          <w:rPr>
                            <w:rFonts w:cs="Calibri"/>
                            <w:sz w:val="18"/>
                            <w:szCs w:val="18"/>
                          </w:rPr>
                          <w:t>4,005</w:t>
                        </w:r>
                      </w:p>
                    </w:tc>
                    <w:tc>
                      <w:tcPr>
                        <w:tcW w:w="1643" w:type="dxa"/>
                        <w:tcBorders>
                          <w:top w:val="nil"/>
                          <w:left w:val="nil"/>
                          <w:bottom w:val="nil"/>
                          <w:right w:val="nil"/>
                        </w:tcBorders>
                        <w:shd w:val="clear" w:color="000000" w:fill="FFFFFF"/>
                        <w:vAlign w:val="center"/>
                        <w:hideMark/>
                      </w:tcPr>
                      <w:p w14:paraId="5BC52CD1" w14:textId="77777777" w:rsidR="000469A9" w:rsidRPr="00876AEA" w:rsidRDefault="000469A9" w:rsidP="000469A9">
                        <w:pPr>
                          <w:spacing w:after="0" w:line="240" w:lineRule="auto"/>
                          <w:jc w:val="right"/>
                          <w:rPr>
                            <w:rFonts w:asciiTheme="minorHAnsi" w:hAnsiTheme="minorHAnsi" w:cstheme="minorHAnsi"/>
                            <w:sz w:val="18"/>
                            <w:szCs w:val="18"/>
                          </w:rPr>
                        </w:pPr>
                        <w:r w:rsidRPr="00876AEA">
                          <w:rPr>
                            <w:rFonts w:asciiTheme="minorHAnsi" w:hAnsiTheme="minorHAnsi" w:cstheme="minorHAnsi"/>
                            <w:sz w:val="18"/>
                            <w:szCs w:val="18"/>
                          </w:rPr>
                          <w:t>3,865</w:t>
                        </w:r>
                      </w:p>
                    </w:tc>
                    <w:tc>
                      <w:tcPr>
                        <w:tcW w:w="1644" w:type="dxa"/>
                        <w:tcBorders>
                          <w:top w:val="nil"/>
                          <w:left w:val="nil"/>
                          <w:bottom w:val="nil"/>
                          <w:right w:val="nil"/>
                        </w:tcBorders>
                        <w:shd w:val="clear" w:color="000000" w:fill="FFFFFF"/>
                        <w:vAlign w:val="center"/>
                        <w:hideMark/>
                      </w:tcPr>
                      <w:p w14:paraId="365540B8" w14:textId="77777777" w:rsidR="000469A9" w:rsidRPr="00876AEA" w:rsidRDefault="000469A9" w:rsidP="000469A9">
                        <w:pPr>
                          <w:spacing w:after="0" w:line="240" w:lineRule="auto"/>
                          <w:jc w:val="right"/>
                          <w:rPr>
                            <w:rFonts w:asciiTheme="minorHAnsi" w:hAnsiTheme="minorHAnsi" w:cstheme="minorHAnsi"/>
                            <w:sz w:val="18"/>
                            <w:szCs w:val="18"/>
                          </w:rPr>
                        </w:pPr>
                        <w:r w:rsidRPr="00876AEA">
                          <w:rPr>
                            <w:rFonts w:asciiTheme="minorHAnsi" w:hAnsiTheme="minorHAnsi" w:cstheme="minorHAnsi"/>
                            <w:sz w:val="18"/>
                            <w:szCs w:val="18"/>
                            <w:lang w:val="x-none"/>
                          </w:rPr>
                          <w:t>8,287</w:t>
                        </w:r>
                      </w:p>
                    </w:tc>
                  </w:tr>
                  <w:tr w:rsidR="000469A9" w:rsidRPr="00551D5A" w14:paraId="115A0BD2" w14:textId="77777777" w:rsidTr="00997EF7">
                    <w:trPr>
                      <w:trHeight w:val="246"/>
                    </w:trPr>
                    <w:tc>
                      <w:tcPr>
                        <w:tcW w:w="4324" w:type="dxa"/>
                        <w:tcBorders>
                          <w:top w:val="nil"/>
                          <w:left w:val="nil"/>
                          <w:bottom w:val="single" w:sz="8" w:space="0" w:color="auto"/>
                          <w:right w:val="nil"/>
                        </w:tcBorders>
                        <w:shd w:val="clear" w:color="000000" w:fill="FFFFFF"/>
                        <w:vAlign w:val="center"/>
                        <w:hideMark/>
                      </w:tcPr>
                      <w:p w14:paraId="4DE0375B" w14:textId="77777777" w:rsidR="000469A9" w:rsidRPr="00846EEE" w:rsidRDefault="000469A9" w:rsidP="00997EF7">
                        <w:pPr>
                          <w:spacing w:after="0" w:line="240" w:lineRule="auto"/>
                          <w:ind w:left="-170" w:firstLine="68"/>
                          <w:jc w:val="both"/>
                          <w:rPr>
                            <w:rFonts w:asciiTheme="minorHAnsi" w:hAnsiTheme="minorHAnsi" w:cstheme="minorHAnsi"/>
                            <w:sz w:val="18"/>
                            <w:szCs w:val="18"/>
                          </w:rPr>
                        </w:pPr>
                        <w:proofErr w:type="spellStart"/>
                        <w:r w:rsidRPr="00846EEE">
                          <w:rPr>
                            <w:rFonts w:asciiTheme="minorHAnsi" w:hAnsiTheme="minorHAnsi" w:cstheme="minorHAnsi"/>
                            <w:sz w:val="18"/>
                            <w:szCs w:val="18"/>
                            <w:lang w:val="en-US"/>
                          </w:rPr>
                          <w:t>Kleeneze</w:t>
                        </w:r>
                        <w:proofErr w:type="spellEnd"/>
                      </w:p>
                    </w:tc>
                    <w:tc>
                      <w:tcPr>
                        <w:tcW w:w="1643" w:type="dxa"/>
                        <w:tcBorders>
                          <w:top w:val="nil"/>
                          <w:left w:val="nil"/>
                          <w:bottom w:val="single" w:sz="8" w:space="0" w:color="auto"/>
                          <w:right w:val="nil"/>
                        </w:tcBorders>
                        <w:shd w:val="clear" w:color="000000" w:fill="FFFFFF"/>
                        <w:vAlign w:val="center"/>
                        <w:hideMark/>
                      </w:tcPr>
                      <w:p w14:paraId="2DB8761A" w14:textId="52DD522E" w:rsidR="000469A9" w:rsidRPr="00846EEE" w:rsidRDefault="000469A9" w:rsidP="000469A9">
                        <w:pPr>
                          <w:spacing w:after="0" w:line="240" w:lineRule="auto"/>
                          <w:jc w:val="right"/>
                          <w:rPr>
                            <w:rFonts w:asciiTheme="minorHAnsi" w:hAnsiTheme="minorHAnsi" w:cstheme="minorHAnsi"/>
                            <w:sz w:val="18"/>
                            <w:szCs w:val="18"/>
                          </w:rPr>
                        </w:pPr>
                        <w:r>
                          <w:rPr>
                            <w:rFonts w:cs="Calibri"/>
                            <w:sz w:val="18"/>
                            <w:szCs w:val="18"/>
                          </w:rPr>
                          <w:t>1,547</w:t>
                        </w:r>
                      </w:p>
                    </w:tc>
                    <w:tc>
                      <w:tcPr>
                        <w:tcW w:w="1643" w:type="dxa"/>
                        <w:tcBorders>
                          <w:top w:val="nil"/>
                          <w:left w:val="nil"/>
                          <w:bottom w:val="single" w:sz="8" w:space="0" w:color="auto"/>
                          <w:right w:val="nil"/>
                        </w:tcBorders>
                        <w:shd w:val="clear" w:color="000000" w:fill="FFFFFF"/>
                        <w:vAlign w:val="center"/>
                        <w:hideMark/>
                      </w:tcPr>
                      <w:p w14:paraId="18978755" w14:textId="77777777" w:rsidR="000469A9" w:rsidRPr="00876AEA" w:rsidRDefault="000469A9" w:rsidP="000469A9">
                        <w:pPr>
                          <w:spacing w:after="0" w:line="240" w:lineRule="auto"/>
                          <w:jc w:val="right"/>
                          <w:rPr>
                            <w:rFonts w:asciiTheme="minorHAnsi" w:hAnsiTheme="minorHAnsi" w:cstheme="minorHAnsi"/>
                            <w:sz w:val="18"/>
                            <w:szCs w:val="18"/>
                          </w:rPr>
                        </w:pPr>
                        <w:r w:rsidRPr="00876AEA">
                          <w:rPr>
                            <w:rFonts w:asciiTheme="minorHAnsi" w:hAnsiTheme="minorHAnsi" w:cstheme="minorHAnsi"/>
                            <w:sz w:val="18"/>
                            <w:szCs w:val="18"/>
                          </w:rPr>
                          <w:t>1,266</w:t>
                        </w:r>
                      </w:p>
                    </w:tc>
                    <w:tc>
                      <w:tcPr>
                        <w:tcW w:w="1644" w:type="dxa"/>
                        <w:tcBorders>
                          <w:top w:val="nil"/>
                          <w:left w:val="nil"/>
                          <w:bottom w:val="single" w:sz="8" w:space="0" w:color="auto"/>
                          <w:right w:val="nil"/>
                        </w:tcBorders>
                        <w:shd w:val="clear" w:color="000000" w:fill="FFFFFF"/>
                        <w:vAlign w:val="center"/>
                        <w:hideMark/>
                      </w:tcPr>
                      <w:p w14:paraId="082F9116" w14:textId="77777777" w:rsidR="000469A9" w:rsidRPr="00876AEA" w:rsidRDefault="000469A9" w:rsidP="000469A9">
                        <w:pPr>
                          <w:spacing w:after="0" w:line="240" w:lineRule="auto"/>
                          <w:jc w:val="right"/>
                          <w:rPr>
                            <w:rFonts w:asciiTheme="minorHAnsi" w:hAnsiTheme="minorHAnsi" w:cstheme="minorHAnsi"/>
                            <w:sz w:val="18"/>
                            <w:szCs w:val="18"/>
                          </w:rPr>
                        </w:pPr>
                        <w:r w:rsidRPr="00876AEA">
                          <w:rPr>
                            <w:rFonts w:asciiTheme="minorHAnsi" w:hAnsiTheme="minorHAnsi" w:cstheme="minorHAnsi"/>
                            <w:sz w:val="18"/>
                            <w:szCs w:val="18"/>
                            <w:lang w:val="x-none"/>
                          </w:rPr>
                          <w:t>2,835</w:t>
                        </w:r>
                      </w:p>
                    </w:tc>
                  </w:tr>
                  <w:tr w:rsidR="000469A9" w:rsidRPr="00551D5A" w14:paraId="7D9F5149" w14:textId="77777777" w:rsidTr="00997EF7">
                    <w:trPr>
                      <w:trHeight w:val="234"/>
                    </w:trPr>
                    <w:tc>
                      <w:tcPr>
                        <w:tcW w:w="4324" w:type="dxa"/>
                        <w:tcBorders>
                          <w:top w:val="nil"/>
                          <w:left w:val="nil"/>
                          <w:bottom w:val="nil"/>
                          <w:right w:val="nil"/>
                        </w:tcBorders>
                        <w:shd w:val="clear" w:color="000000" w:fill="FFFFFF"/>
                        <w:vAlign w:val="center"/>
                        <w:hideMark/>
                      </w:tcPr>
                      <w:p w14:paraId="0CD78A9E" w14:textId="77777777" w:rsidR="000469A9" w:rsidRPr="00846EEE" w:rsidRDefault="000469A9" w:rsidP="00997EF7">
                        <w:pPr>
                          <w:spacing w:after="0" w:line="240" w:lineRule="auto"/>
                          <w:ind w:left="-170" w:firstLine="68"/>
                          <w:jc w:val="both"/>
                          <w:rPr>
                            <w:rFonts w:asciiTheme="minorHAnsi" w:hAnsiTheme="minorHAnsi" w:cstheme="minorHAnsi"/>
                            <w:b/>
                            <w:bCs/>
                            <w:sz w:val="18"/>
                            <w:szCs w:val="18"/>
                          </w:rPr>
                        </w:pPr>
                        <w:r w:rsidRPr="00846EEE">
                          <w:rPr>
                            <w:rFonts w:asciiTheme="minorHAnsi" w:hAnsiTheme="minorHAnsi" w:cstheme="minorHAnsi"/>
                            <w:b/>
                            <w:bCs/>
                            <w:sz w:val="18"/>
                            <w:szCs w:val="18"/>
                            <w:lang w:val="en-US"/>
                          </w:rPr>
                          <w:t>Premier brands</w:t>
                        </w:r>
                      </w:p>
                    </w:tc>
                    <w:tc>
                      <w:tcPr>
                        <w:tcW w:w="1643" w:type="dxa"/>
                        <w:tcBorders>
                          <w:top w:val="nil"/>
                          <w:left w:val="nil"/>
                          <w:bottom w:val="nil"/>
                          <w:right w:val="nil"/>
                        </w:tcBorders>
                        <w:shd w:val="clear" w:color="000000" w:fill="FFFFFF"/>
                        <w:vAlign w:val="center"/>
                        <w:hideMark/>
                      </w:tcPr>
                      <w:p w14:paraId="43ED972E" w14:textId="0FA694B1" w:rsidR="000469A9" w:rsidRPr="00846EEE" w:rsidRDefault="000469A9" w:rsidP="000469A9">
                        <w:pPr>
                          <w:spacing w:after="0" w:line="240" w:lineRule="auto"/>
                          <w:jc w:val="right"/>
                          <w:rPr>
                            <w:rFonts w:asciiTheme="minorHAnsi" w:hAnsiTheme="minorHAnsi" w:cstheme="minorHAnsi"/>
                            <w:b/>
                            <w:bCs/>
                            <w:sz w:val="18"/>
                            <w:szCs w:val="18"/>
                          </w:rPr>
                        </w:pPr>
                        <w:r>
                          <w:rPr>
                            <w:rFonts w:cs="Calibri"/>
                            <w:b/>
                            <w:bCs/>
                            <w:sz w:val="18"/>
                            <w:szCs w:val="18"/>
                          </w:rPr>
                          <w:t>68,491</w:t>
                        </w:r>
                      </w:p>
                    </w:tc>
                    <w:tc>
                      <w:tcPr>
                        <w:tcW w:w="1643" w:type="dxa"/>
                        <w:tcBorders>
                          <w:top w:val="nil"/>
                          <w:left w:val="nil"/>
                          <w:bottom w:val="nil"/>
                          <w:right w:val="nil"/>
                        </w:tcBorders>
                        <w:shd w:val="clear" w:color="000000" w:fill="FFFFFF"/>
                        <w:vAlign w:val="center"/>
                        <w:hideMark/>
                      </w:tcPr>
                      <w:p w14:paraId="0CCD9A01" w14:textId="77777777" w:rsidR="000469A9" w:rsidRPr="00997EF7" w:rsidRDefault="000469A9" w:rsidP="000469A9">
                        <w:pPr>
                          <w:spacing w:after="0" w:line="240" w:lineRule="auto"/>
                          <w:jc w:val="right"/>
                          <w:rPr>
                            <w:rFonts w:asciiTheme="minorHAnsi" w:hAnsiTheme="minorHAnsi" w:cstheme="minorHAnsi"/>
                            <w:sz w:val="18"/>
                            <w:szCs w:val="18"/>
                          </w:rPr>
                        </w:pPr>
                        <w:r w:rsidRPr="00997EF7">
                          <w:rPr>
                            <w:rFonts w:asciiTheme="minorHAnsi" w:hAnsiTheme="minorHAnsi" w:cstheme="minorHAnsi"/>
                            <w:sz w:val="18"/>
                            <w:szCs w:val="18"/>
                          </w:rPr>
                          <w:t>68,491</w:t>
                        </w:r>
                      </w:p>
                    </w:tc>
                    <w:tc>
                      <w:tcPr>
                        <w:tcW w:w="1644" w:type="dxa"/>
                        <w:tcBorders>
                          <w:top w:val="nil"/>
                          <w:left w:val="nil"/>
                          <w:bottom w:val="nil"/>
                          <w:right w:val="nil"/>
                        </w:tcBorders>
                        <w:shd w:val="clear" w:color="000000" w:fill="FFFFFF"/>
                        <w:vAlign w:val="center"/>
                        <w:hideMark/>
                      </w:tcPr>
                      <w:p w14:paraId="4699C71E" w14:textId="77777777" w:rsidR="000469A9" w:rsidRPr="00997EF7" w:rsidRDefault="000469A9" w:rsidP="000469A9">
                        <w:pPr>
                          <w:spacing w:after="0" w:line="240" w:lineRule="auto"/>
                          <w:jc w:val="right"/>
                          <w:rPr>
                            <w:rFonts w:asciiTheme="minorHAnsi" w:hAnsiTheme="minorHAnsi" w:cstheme="minorHAnsi"/>
                            <w:sz w:val="18"/>
                            <w:szCs w:val="18"/>
                          </w:rPr>
                        </w:pPr>
                        <w:r w:rsidRPr="00997EF7">
                          <w:rPr>
                            <w:rFonts w:asciiTheme="minorHAnsi" w:hAnsiTheme="minorHAnsi" w:cstheme="minorHAnsi"/>
                            <w:sz w:val="18"/>
                            <w:szCs w:val="18"/>
                            <w:lang w:val="x-none"/>
                          </w:rPr>
                          <w:t>119,317</w:t>
                        </w:r>
                      </w:p>
                    </w:tc>
                  </w:tr>
                  <w:tr w:rsidR="000469A9" w:rsidRPr="00551D5A" w14:paraId="37A38925" w14:textId="77777777" w:rsidTr="00997EF7">
                    <w:trPr>
                      <w:trHeight w:val="234"/>
                    </w:trPr>
                    <w:tc>
                      <w:tcPr>
                        <w:tcW w:w="4324" w:type="dxa"/>
                        <w:tcBorders>
                          <w:top w:val="nil"/>
                          <w:left w:val="nil"/>
                          <w:bottom w:val="nil"/>
                          <w:right w:val="nil"/>
                        </w:tcBorders>
                        <w:shd w:val="clear" w:color="000000" w:fill="FFFFFF"/>
                        <w:vAlign w:val="center"/>
                        <w:hideMark/>
                      </w:tcPr>
                      <w:p w14:paraId="75284491" w14:textId="77777777" w:rsidR="000469A9" w:rsidRPr="00846EEE" w:rsidRDefault="000469A9" w:rsidP="00997EF7">
                        <w:pPr>
                          <w:spacing w:after="0" w:line="240" w:lineRule="auto"/>
                          <w:ind w:left="-170" w:firstLine="68"/>
                          <w:jc w:val="both"/>
                          <w:rPr>
                            <w:rFonts w:asciiTheme="minorHAnsi" w:hAnsiTheme="minorHAnsi" w:cstheme="minorHAnsi"/>
                            <w:sz w:val="18"/>
                            <w:szCs w:val="18"/>
                          </w:rPr>
                        </w:pPr>
                        <w:r w:rsidRPr="00846EEE">
                          <w:rPr>
                            <w:rFonts w:asciiTheme="minorHAnsi" w:hAnsiTheme="minorHAnsi" w:cstheme="minorHAnsi"/>
                            <w:sz w:val="18"/>
                            <w:szCs w:val="18"/>
                            <w:lang w:val="en-US"/>
                          </w:rPr>
                          <w:t>Other proprietorial brands</w:t>
                        </w:r>
                      </w:p>
                    </w:tc>
                    <w:tc>
                      <w:tcPr>
                        <w:tcW w:w="1643" w:type="dxa"/>
                        <w:tcBorders>
                          <w:top w:val="nil"/>
                          <w:left w:val="nil"/>
                          <w:bottom w:val="nil"/>
                          <w:right w:val="nil"/>
                        </w:tcBorders>
                        <w:shd w:val="clear" w:color="000000" w:fill="FFFFFF"/>
                        <w:vAlign w:val="center"/>
                        <w:hideMark/>
                      </w:tcPr>
                      <w:p w14:paraId="24DB7207" w14:textId="04A305F3" w:rsidR="000469A9" w:rsidRPr="00846EEE" w:rsidRDefault="000469A9" w:rsidP="000469A9">
                        <w:pPr>
                          <w:spacing w:after="0" w:line="240" w:lineRule="auto"/>
                          <w:jc w:val="right"/>
                          <w:rPr>
                            <w:rFonts w:asciiTheme="minorHAnsi" w:hAnsiTheme="minorHAnsi" w:cstheme="minorHAnsi"/>
                            <w:sz w:val="18"/>
                            <w:szCs w:val="18"/>
                          </w:rPr>
                        </w:pPr>
                        <w:r>
                          <w:rPr>
                            <w:rFonts w:cs="Calibri"/>
                            <w:sz w:val="18"/>
                            <w:szCs w:val="18"/>
                          </w:rPr>
                          <w:t>10,721</w:t>
                        </w:r>
                      </w:p>
                    </w:tc>
                    <w:tc>
                      <w:tcPr>
                        <w:tcW w:w="1643" w:type="dxa"/>
                        <w:tcBorders>
                          <w:top w:val="nil"/>
                          <w:left w:val="nil"/>
                          <w:bottom w:val="nil"/>
                          <w:right w:val="nil"/>
                        </w:tcBorders>
                        <w:shd w:val="clear" w:color="000000" w:fill="FFFFFF"/>
                        <w:vAlign w:val="center"/>
                        <w:hideMark/>
                      </w:tcPr>
                      <w:p w14:paraId="11B23A0E" w14:textId="77777777" w:rsidR="000469A9" w:rsidRPr="00876AEA" w:rsidRDefault="000469A9" w:rsidP="000469A9">
                        <w:pPr>
                          <w:spacing w:after="0" w:line="240" w:lineRule="auto"/>
                          <w:jc w:val="right"/>
                          <w:rPr>
                            <w:rFonts w:asciiTheme="minorHAnsi" w:hAnsiTheme="minorHAnsi" w:cstheme="minorHAnsi"/>
                            <w:sz w:val="18"/>
                            <w:szCs w:val="18"/>
                          </w:rPr>
                        </w:pPr>
                        <w:r w:rsidRPr="00876AEA">
                          <w:rPr>
                            <w:rFonts w:asciiTheme="minorHAnsi" w:hAnsiTheme="minorHAnsi" w:cstheme="minorHAnsi"/>
                            <w:sz w:val="18"/>
                            <w:szCs w:val="18"/>
                          </w:rPr>
                          <w:t>9,154</w:t>
                        </w:r>
                      </w:p>
                    </w:tc>
                    <w:tc>
                      <w:tcPr>
                        <w:tcW w:w="1644" w:type="dxa"/>
                        <w:tcBorders>
                          <w:top w:val="nil"/>
                          <w:left w:val="nil"/>
                          <w:bottom w:val="nil"/>
                          <w:right w:val="nil"/>
                        </w:tcBorders>
                        <w:shd w:val="clear" w:color="000000" w:fill="FFFFFF"/>
                        <w:vAlign w:val="center"/>
                        <w:hideMark/>
                      </w:tcPr>
                      <w:p w14:paraId="7D69F7CF" w14:textId="77777777" w:rsidR="000469A9" w:rsidRPr="00876AEA" w:rsidRDefault="000469A9" w:rsidP="000469A9">
                        <w:pPr>
                          <w:spacing w:after="0" w:line="240" w:lineRule="auto"/>
                          <w:jc w:val="right"/>
                          <w:rPr>
                            <w:rFonts w:asciiTheme="minorHAnsi" w:hAnsiTheme="minorHAnsi" w:cstheme="minorHAnsi"/>
                            <w:sz w:val="18"/>
                            <w:szCs w:val="18"/>
                          </w:rPr>
                        </w:pPr>
                        <w:r w:rsidRPr="00876AEA">
                          <w:rPr>
                            <w:rFonts w:asciiTheme="minorHAnsi" w:hAnsiTheme="minorHAnsi" w:cstheme="minorHAnsi"/>
                            <w:sz w:val="18"/>
                            <w:szCs w:val="18"/>
                            <w:lang w:val="en-US"/>
                          </w:rPr>
                          <w:t>17,032</w:t>
                        </w:r>
                      </w:p>
                    </w:tc>
                  </w:tr>
                  <w:tr w:rsidR="000469A9" w:rsidRPr="00551D5A" w14:paraId="29D40093" w14:textId="77777777" w:rsidTr="00997EF7">
                    <w:trPr>
                      <w:trHeight w:val="246"/>
                    </w:trPr>
                    <w:tc>
                      <w:tcPr>
                        <w:tcW w:w="4324" w:type="dxa"/>
                        <w:tcBorders>
                          <w:top w:val="nil"/>
                          <w:left w:val="nil"/>
                          <w:bottom w:val="single" w:sz="8" w:space="0" w:color="auto"/>
                          <w:right w:val="nil"/>
                        </w:tcBorders>
                        <w:shd w:val="clear" w:color="000000" w:fill="FFFFFF"/>
                        <w:vAlign w:val="center"/>
                        <w:hideMark/>
                      </w:tcPr>
                      <w:p w14:paraId="7F660129" w14:textId="77777777" w:rsidR="000469A9" w:rsidRPr="00846EEE" w:rsidRDefault="000469A9" w:rsidP="00997EF7">
                        <w:pPr>
                          <w:spacing w:after="0" w:line="240" w:lineRule="auto"/>
                          <w:ind w:left="-170" w:firstLine="68"/>
                          <w:jc w:val="both"/>
                          <w:rPr>
                            <w:rFonts w:asciiTheme="minorHAnsi" w:hAnsiTheme="minorHAnsi" w:cstheme="minorHAnsi"/>
                            <w:sz w:val="18"/>
                            <w:szCs w:val="18"/>
                          </w:rPr>
                        </w:pPr>
                        <w:r w:rsidRPr="00846EEE">
                          <w:rPr>
                            <w:rFonts w:asciiTheme="minorHAnsi" w:hAnsiTheme="minorHAnsi" w:cstheme="minorHAnsi"/>
                            <w:sz w:val="18"/>
                            <w:szCs w:val="18"/>
                            <w:lang w:val="en-US"/>
                          </w:rPr>
                          <w:t>Own label and other</w:t>
                        </w:r>
                      </w:p>
                    </w:tc>
                    <w:tc>
                      <w:tcPr>
                        <w:tcW w:w="1643" w:type="dxa"/>
                        <w:tcBorders>
                          <w:top w:val="nil"/>
                          <w:left w:val="nil"/>
                          <w:bottom w:val="single" w:sz="8" w:space="0" w:color="auto"/>
                          <w:right w:val="nil"/>
                        </w:tcBorders>
                        <w:shd w:val="clear" w:color="000000" w:fill="FFFFFF"/>
                        <w:vAlign w:val="center"/>
                        <w:hideMark/>
                      </w:tcPr>
                      <w:p w14:paraId="0747889F" w14:textId="7D27DEDD" w:rsidR="000469A9" w:rsidRPr="00846EEE" w:rsidRDefault="000469A9" w:rsidP="000469A9">
                        <w:pPr>
                          <w:spacing w:after="0" w:line="240" w:lineRule="auto"/>
                          <w:jc w:val="right"/>
                          <w:rPr>
                            <w:rFonts w:asciiTheme="minorHAnsi" w:hAnsiTheme="minorHAnsi" w:cstheme="minorHAnsi"/>
                            <w:sz w:val="18"/>
                            <w:szCs w:val="18"/>
                          </w:rPr>
                        </w:pPr>
                        <w:r>
                          <w:rPr>
                            <w:rFonts w:cs="Calibri"/>
                            <w:sz w:val="18"/>
                            <w:szCs w:val="18"/>
                          </w:rPr>
                          <w:t>8,394</w:t>
                        </w:r>
                      </w:p>
                    </w:tc>
                    <w:tc>
                      <w:tcPr>
                        <w:tcW w:w="1643" w:type="dxa"/>
                        <w:tcBorders>
                          <w:top w:val="nil"/>
                          <w:left w:val="nil"/>
                          <w:bottom w:val="single" w:sz="8" w:space="0" w:color="auto"/>
                          <w:right w:val="nil"/>
                        </w:tcBorders>
                        <w:shd w:val="clear" w:color="000000" w:fill="FFFFFF"/>
                        <w:vAlign w:val="center"/>
                        <w:hideMark/>
                      </w:tcPr>
                      <w:p w14:paraId="5E50DFA7" w14:textId="77777777" w:rsidR="000469A9" w:rsidRPr="00876AEA" w:rsidRDefault="000469A9" w:rsidP="000469A9">
                        <w:pPr>
                          <w:spacing w:after="0" w:line="240" w:lineRule="auto"/>
                          <w:jc w:val="right"/>
                          <w:rPr>
                            <w:rFonts w:asciiTheme="minorHAnsi" w:hAnsiTheme="minorHAnsi" w:cstheme="minorHAnsi"/>
                            <w:sz w:val="18"/>
                            <w:szCs w:val="18"/>
                          </w:rPr>
                        </w:pPr>
                        <w:r w:rsidRPr="00876AEA">
                          <w:rPr>
                            <w:rFonts w:asciiTheme="minorHAnsi" w:hAnsiTheme="minorHAnsi" w:cstheme="minorHAnsi"/>
                            <w:sz w:val="18"/>
                            <w:szCs w:val="18"/>
                          </w:rPr>
                          <w:t>8,101</w:t>
                        </w:r>
                      </w:p>
                    </w:tc>
                    <w:tc>
                      <w:tcPr>
                        <w:tcW w:w="1644" w:type="dxa"/>
                        <w:tcBorders>
                          <w:top w:val="nil"/>
                          <w:left w:val="nil"/>
                          <w:bottom w:val="single" w:sz="8" w:space="0" w:color="auto"/>
                          <w:right w:val="nil"/>
                        </w:tcBorders>
                        <w:shd w:val="clear" w:color="000000" w:fill="FFFFFF"/>
                        <w:vAlign w:val="center"/>
                        <w:hideMark/>
                      </w:tcPr>
                      <w:p w14:paraId="5FA0E3BB" w14:textId="77777777" w:rsidR="000469A9" w:rsidRPr="00876AEA" w:rsidRDefault="000469A9" w:rsidP="000469A9">
                        <w:pPr>
                          <w:spacing w:after="0" w:line="240" w:lineRule="auto"/>
                          <w:jc w:val="right"/>
                          <w:rPr>
                            <w:rFonts w:asciiTheme="minorHAnsi" w:hAnsiTheme="minorHAnsi" w:cstheme="minorHAnsi"/>
                            <w:sz w:val="18"/>
                            <w:szCs w:val="18"/>
                          </w:rPr>
                        </w:pPr>
                        <w:r w:rsidRPr="00876AEA">
                          <w:rPr>
                            <w:rFonts w:asciiTheme="minorHAnsi" w:hAnsiTheme="minorHAnsi" w:cstheme="minorHAnsi"/>
                            <w:sz w:val="18"/>
                            <w:szCs w:val="18"/>
                            <w:lang w:val="en-US"/>
                          </w:rPr>
                          <w:t>17,842</w:t>
                        </w:r>
                      </w:p>
                    </w:tc>
                  </w:tr>
                  <w:tr w:rsidR="000469A9" w:rsidRPr="00551D5A" w14:paraId="772B2067" w14:textId="77777777" w:rsidTr="00997EF7">
                    <w:trPr>
                      <w:trHeight w:val="246"/>
                    </w:trPr>
                    <w:tc>
                      <w:tcPr>
                        <w:tcW w:w="4324" w:type="dxa"/>
                        <w:tcBorders>
                          <w:top w:val="nil"/>
                          <w:left w:val="nil"/>
                          <w:bottom w:val="double" w:sz="6" w:space="0" w:color="auto"/>
                          <w:right w:val="nil"/>
                        </w:tcBorders>
                        <w:shd w:val="clear" w:color="000000" w:fill="FFFFFF"/>
                        <w:vAlign w:val="center"/>
                        <w:hideMark/>
                      </w:tcPr>
                      <w:p w14:paraId="45EF659E" w14:textId="77777777" w:rsidR="000469A9" w:rsidRPr="00846EEE" w:rsidRDefault="000469A9" w:rsidP="00997EF7">
                        <w:pPr>
                          <w:spacing w:after="0" w:line="240" w:lineRule="auto"/>
                          <w:ind w:left="-170" w:firstLine="68"/>
                          <w:jc w:val="both"/>
                          <w:rPr>
                            <w:rFonts w:asciiTheme="minorHAnsi" w:hAnsiTheme="minorHAnsi" w:cstheme="minorHAnsi"/>
                            <w:b/>
                            <w:bCs/>
                            <w:sz w:val="18"/>
                            <w:szCs w:val="18"/>
                          </w:rPr>
                        </w:pPr>
                        <w:r w:rsidRPr="00846EEE">
                          <w:rPr>
                            <w:rFonts w:asciiTheme="minorHAnsi" w:hAnsiTheme="minorHAnsi" w:cstheme="minorHAnsi"/>
                            <w:b/>
                            <w:bCs/>
                            <w:sz w:val="18"/>
                            <w:szCs w:val="18"/>
                            <w:lang w:val="en-US"/>
                          </w:rPr>
                          <w:t>Total</w:t>
                        </w:r>
                      </w:p>
                    </w:tc>
                    <w:tc>
                      <w:tcPr>
                        <w:tcW w:w="1643" w:type="dxa"/>
                        <w:tcBorders>
                          <w:top w:val="nil"/>
                          <w:left w:val="nil"/>
                          <w:bottom w:val="double" w:sz="6" w:space="0" w:color="auto"/>
                          <w:right w:val="nil"/>
                        </w:tcBorders>
                        <w:shd w:val="clear" w:color="000000" w:fill="FFFFFF"/>
                        <w:vAlign w:val="center"/>
                        <w:hideMark/>
                      </w:tcPr>
                      <w:p w14:paraId="0C1A2DC0" w14:textId="7D9DCF33" w:rsidR="000469A9" w:rsidRPr="00846EEE" w:rsidRDefault="000469A9" w:rsidP="000469A9">
                        <w:pPr>
                          <w:spacing w:after="0" w:line="240" w:lineRule="auto"/>
                          <w:jc w:val="right"/>
                          <w:rPr>
                            <w:rFonts w:asciiTheme="minorHAnsi" w:hAnsiTheme="minorHAnsi" w:cstheme="minorHAnsi"/>
                            <w:b/>
                            <w:bCs/>
                            <w:sz w:val="18"/>
                            <w:szCs w:val="18"/>
                          </w:rPr>
                        </w:pPr>
                        <w:r>
                          <w:rPr>
                            <w:rFonts w:cs="Calibri"/>
                            <w:b/>
                            <w:bCs/>
                            <w:sz w:val="18"/>
                            <w:szCs w:val="18"/>
                          </w:rPr>
                          <w:t>87,606</w:t>
                        </w:r>
                      </w:p>
                    </w:tc>
                    <w:tc>
                      <w:tcPr>
                        <w:tcW w:w="1643" w:type="dxa"/>
                        <w:tcBorders>
                          <w:top w:val="nil"/>
                          <w:left w:val="nil"/>
                          <w:bottom w:val="double" w:sz="6" w:space="0" w:color="auto"/>
                          <w:right w:val="nil"/>
                        </w:tcBorders>
                        <w:shd w:val="clear" w:color="000000" w:fill="FFFFFF"/>
                        <w:vAlign w:val="center"/>
                        <w:hideMark/>
                      </w:tcPr>
                      <w:p w14:paraId="6359DFF0" w14:textId="77777777" w:rsidR="000469A9" w:rsidRPr="00997EF7" w:rsidRDefault="000469A9" w:rsidP="000469A9">
                        <w:pPr>
                          <w:spacing w:after="0" w:line="240" w:lineRule="auto"/>
                          <w:jc w:val="right"/>
                          <w:rPr>
                            <w:rFonts w:asciiTheme="minorHAnsi" w:hAnsiTheme="minorHAnsi" w:cstheme="minorHAnsi"/>
                            <w:sz w:val="18"/>
                            <w:szCs w:val="18"/>
                          </w:rPr>
                        </w:pPr>
                        <w:r w:rsidRPr="00997EF7">
                          <w:rPr>
                            <w:rFonts w:asciiTheme="minorHAnsi" w:hAnsiTheme="minorHAnsi" w:cstheme="minorHAnsi"/>
                            <w:sz w:val="18"/>
                            <w:szCs w:val="18"/>
                          </w:rPr>
                          <w:t>85,746</w:t>
                        </w:r>
                      </w:p>
                    </w:tc>
                    <w:tc>
                      <w:tcPr>
                        <w:tcW w:w="1644" w:type="dxa"/>
                        <w:tcBorders>
                          <w:top w:val="nil"/>
                          <w:left w:val="nil"/>
                          <w:bottom w:val="double" w:sz="6" w:space="0" w:color="auto"/>
                          <w:right w:val="nil"/>
                        </w:tcBorders>
                        <w:shd w:val="clear" w:color="000000" w:fill="FFFFFF"/>
                        <w:vAlign w:val="center"/>
                        <w:hideMark/>
                      </w:tcPr>
                      <w:p w14:paraId="09F0D514" w14:textId="77777777" w:rsidR="000469A9" w:rsidRPr="00997EF7" w:rsidRDefault="000469A9" w:rsidP="000469A9">
                        <w:pPr>
                          <w:spacing w:after="0" w:line="240" w:lineRule="auto"/>
                          <w:jc w:val="right"/>
                          <w:rPr>
                            <w:rFonts w:asciiTheme="minorHAnsi" w:hAnsiTheme="minorHAnsi" w:cstheme="minorHAnsi"/>
                            <w:sz w:val="18"/>
                            <w:szCs w:val="18"/>
                          </w:rPr>
                        </w:pPr>
                        <w:r w:rsidRPr="00997EF7">
                          <w:rPr>
                            <w:rFonts w:asciiTheme="minorHAnsi" w:hAnsiTheme="minorHAnsi" w:cstheme="minorHAnsi"/>
                            <w:sz w:val="18"/>
                            <w:szCs w:val="18"/>
                            <w:lang w:val="en-US"/>
                          </w:rPr>
                          <w:t>154,191</w:t>
                        </w:r>
                      </w:p>
                    </w:tc>
                  </w:tr>
                  <w:tr w:rsidR="00F31E20" w:rsidRPr="00551D5A" w14:paraId="4AB4FF09" w14:textId="77777777" w:rsidTr="00997EF7">
                    <w:trPr>
                      <w:trHeight w:val="246"/>
                    </w:trPr>
                    <w:tc>
                      <w:tcPr>
                        <w:tcW w:w="4324" w:type="dxa"/>
                        <w:tcBorders>
                          <w:top w:val="nil"/>
                          <w:left w:val="nil"/>
                          <w:bottom w:val="nil"/>
                          <w:right w:val="nil"/>
                        </w:tcBorders>
                        <w:shd w:val="clear" w:color="000000" w:fill="FFFFFF"/>
                        <w:noWrap/>
                        <w:vAlign w:val="center"/>
                        <w:hideMark/>
                      </w:tcPr>
                      <w:p w14:paraId="294AFACA" w14:textId="77777777" w:rsidR="007A34B1" w:rsidRDefault="007A34B1" w:rsidP="00997EF7">
                        <w:pPr>
                          <w:spacing w:after="0" w:line="240" w:lineRule="auto"/>
                          <w:ind w:left="-170" w:firstLine="68"/>
                          <w:jc w:val="both"/>
                          <w:rPr>
                            <w:rFonts w:asciiTheme="minorHAnsi" w:hAnsiTheme="minorHAnsi" w:cstheme="minorHAnsi"/>
                            <w:sz w:val="18"/>
                            <w:szCs w:val="18"/>
                            <w:lang w:val="en-US"/>
                          </w:rPr>
                        </w:pPr>
                        <w:r w:rsidRPr="00846EEE">
                          <w:rPr>
                            <w:rFonts w:asciiTheme="minorHAnsi" w:hAnsiTheme="minorHAnsi" w:cstheme="minorHAnsi"/>
                            <w:sz w:val="18"/>
                            <w:szCs w:val="18"/>
                            <w:lang w:val="en-US"/>
                          </w:rPr>
                          <w:t xml:space="preserve">    </w:t>
                        </w:r>
                      </w:p>
                      <w:p w14:paraId="6F2AD8A2" w14:textId="77777777" w:rsidR="006217AE" w:rsidRDefault="006217AE" w:rsidP="00997EF7">
                        <w:pPr>
                          <w:spacing w:after="0" w:line="240" w:lineRule="auto"/>
                          <w:ind w:left="-170" w:firstLine="68"/>
                          <w:jc w:val="both"/>
                          <w:rPr>
                            <w:rFonts w:asciiTheme="minorHAnsi" w:hAnsiTheme="minorHAnsi" w:cstheme="minorHAnsi"/>
                            <w:sz w:val="18"/>
                            <w:szCs w:val="18"/>
                            <w:lang w:val="en-US"/>
                          </w:rPr>
                        </w:pPr>
                      </w:p>
                      <w:p w14:paraId="4859FB72" w14:textId="77777777" w:rsidR="006217AE" w:rsidRDefault="006217AE" w:rsidP="00997EF7">
                        <w:pPr>
                          <w:spacing w:after="0" w:line="240" w:lineRule="auto"/>
                          <w:ind w:left="-170" w:firstLine="68"/>
                          <w:jc w:val="both"/>
                          <w:rPr>
                            <w:rFonts w:asciiTheme="minorHAnsi" w:hAnsiTheme="minorHAnsi" w:cstheme="minorHAnsi"/>
                            <w:sz w:val="18"/>
                            <w:szCs w:val="18"/>
                            <w:lang w:val="en-US"/>
                          </w:rPr>
                        </w:pPr>
                      </w:p>
                      <w:p w14:paraId="4C86FBD7" w14:textId="1C3C1763" w:rsidR="006217AE" w:rsidRPr="00846EEE" w:rsidRDefault="006217AE" w:rsidP="00997EF7">
                        <w:pPr>
                          <w:spacing w:after="0" w:line="240" w:lineRule="auto"/>
                          <w:ind w:left="-170" w:firstLine="68"/>
                          <w:jc w:val="both"/>
                          <w:rPr>
                            <w:rFonts w:asciiTheme="minorHAnsi" w:hAnsiTheme="minorHAnsi" w:cstheme="minorHAnsi"/>
                            <w:sz w:val="18"/>
                            <w:szCs w:val="18"/>
                          </w:rPr>
                        </w:pPr>
                      </w:p>
                    </w:tc>
                    <w:tc>
                      <w:tcPr>
                        <w:tcW w:w="1643" w:type="dxa"/>
                        <w:tcBorders>
                          <w:top w:val="nil"/>
                          <w:left w:val="nil"/>
                          <w:bottom w:val="nil"/>
                          <w:right w:val="nil"/>
                        </w:tcBorders>
                        <w:shd w:val="clear" w:color="000000" w:fill="FFFFFF"/>
                        <w:noWrap/>
                        <w:vAlign w:val="center"/>
                        <w:hideMark/>
                      </w:tcPr>
                      <w:p w14:paraId="71783AA6" w14:textId="77777777" w:rsidR="007A34B1" w:rsidRPr="00846EEE" w:rsidRDefault="007A34B1" w:rsidP="007A34B1">
                        <w:pPr>
                          <w:spacing w:after="0" w:line="240" w:lineRule="auto"/>
                          <w:jc w:val="right"/>
                          <w:rPr>
                            <w:rFonts w:asciiTheme="minorHAnsi" w:hAnsiTheme="minorHAnsi" w:cstheme="minorHAnsi"/>
                            <w:sz w:val="18"/>
                            <w:szCs w:val="18"/>
                          </w:rPr>
                        </w:pPr>
                        <w:r w:rsidRPr="00846EEE">
                          <w:rPr>
                            <w:rFonts w:asciiTheme="minorHAnsi" w:hAnsiTheme="minorHAnsi" w:cstheme="minorHAnsi"/>
                            <w:sz w:val="18"/>
                            <w:szCs w:val="18"/>
                          </w:rPr>
                          <w:t> </w:t>
                        </w:r>
                      </w:p>
                    </w:tc>
                    <w:tc>
                      <w:tcPr>
                        <w:tcW w:w="1643" w:type="dxa"/>
                        <w:tcBorders>
                          <w:top w:val="nil"/>
                          <w:left w:val="nil"/>
                          <w:bottom w:val="nil"/>
                          <w:right w:val="nil"/>
                        </w:tcBorders>
                        <w:shd w:val="clear" w:color="000000" w:fill="FFFFFF"/>
                        <w:noWrap/>
                        <w:vAlign w:val="bottom"/>
                        <w:hideMark/>
                      </w:tcPr>
                      <w:p w14:paraId="2C6EE073" w14:textId="77777777" w:rsidR="007A34B1" w:rsidRPr="00876AEA" w:rsidRDefault="007A34B1" w:rsidP="007A34B1">
                        <w:pPr>
                          <w:spacing w:after="0" w:line="240" w:lineRule="auto"/>
                          <w:jc w:val="right"/>
                          <w:rPr>
                            <w:rFonts w:asciiTheme="minorHAnsi" w:hAnsiTheme="minorHAnsi" w:cstheme="minorHAnsi"/>
                            <w:color w:val="000000"/>
                            <w:sz w:val="18"/>
                            <w:szCs w:val="18"/>
                          </w:rPr>
                        </w:pPr>
                        <w:r w:rsidRPr="00876AEA">
                          <w:rPr>
                            <w:rFonts w:asciiTheme="minorHAnsi" w:hAnsiTheme="minorHAnsi" w:cstheme="minorHAnsi"/>
                            <w:color w:val="000000"/>
                            <w:sz w:val="18"/>
                            <w:szCs w:val="18"/>
                          </w:rPr>
                          <w:t> </w:t>
                        </w:r>
                      </w:p>
                    </w:tc>
                    <w:tc>
                      <w:tcPr>
                        <w:tcW w:w="1644" w:type="dxa"/>
                        <w:tcBorders>
                          <w:top w:val="nil"/>
                          <w:left w:val="nil"/>
                          <w:bottom w:val="nil"/>
                          <w:right w:val="nil"/>
                        </w:tcBorders>
                        <w:shd w:val="clear" w:color="000000" w:fill="FFFFFF"/>
                        <w:noWrap/>
                        <w:vAlign w:val="bottom"/>
                        <w:hideMark/>
                      </w:tcPr>
                      <w:p w14:paraId="34A57638" w14:textId="77777777" w:rsidR="007A34B1" w:rsidRPr="00876AEA" w:rsidRDefault="007A34B1" w:rsidP="00F31E20">
                        <w:pPr>
                          <w:spacing w:after="0" w:line="240" w:lineRule="auto"/>
                          <w:jc w:val="right"/>
                          <w:rPr>
                            <w:rFonts w:asciiTheme="minorHAnsi" w:hAnsiTheme="minorHAnsi" w:cstheme="minorHAnsi"/>
                            <w:color w:val="000000"/>
                            <w:sz w:val="18"/>
                            <w:szCs w:val="18"/>
                          </w:rPr>
                        </w:pPr>
                        <w:r w:rsidRPr="00876AEA">
                          <w:rPr>
                            <w:rFonts w:asciiTheme="minorHAnsi" w:hAnsiTheme="minorHAnsi" w:cstheme="minorHAnsi"/>
                            <w:color w:val="000000"/>
                            <w:sz w:val="18"/>
                            <w:szCs w:val="18"/>
                          </w:rPr>
                          <w:t> </w:t>
                        </w:r>
                      </w:p>
                    </w:tc>
                  </w:tr>
                  <w:tr w:rsidR="00876AEA" w:rsidRPr="00551D5A" w14:paraId="1B47E5EA" w14:textId="77777777" w:rsidTr="00997EF7">
                    <w:trPr>
                      <w:trHeight w:val="377"/>
                    </w:trPr>
                    <w:tc>
                      <w:tcPr>
                        <w:tcW w:w="4324" w:type="dxa"/>
                        <w:tcBorders>
                          <w:top w:val="nil"/>
                          <w:left w:val="nil"/>
                          <w:bottom w:val="nil"/>
                          <w:right w:val="nil"/>
                        </w:tcBorders>
                        <w:shd w:val="clear" w:color="000000" w:fill="FFFFFF"/>
                        <w:vAlign w:val="center"/>
                        <w:hideMark/>
                      </w:tcPr>
                      <w:p w14:paraId="1CA8DB0E" w14:textId="77777777" w:rsidR="00876AEA" w:rsidRPr="00846EEE" w:rsidRDefault="00876AEA" w:rsidP="00997EF7">
                        <w:pPr>
                          <w:spacing w:after="0" w:line="240" w:lineRule="auto"/>
                          <w:ind w:left="-170" w:firstLine="68"/>
                          <w:jc w:val="both"/>
                          <w:rPr>
                            <w:rFonts w:asciiTheme="minorHAnsi" w:hAnsiTheme="minorHAnsi" w:cstheme="minorHAnsi"/>
                            <w:sz w:val="18"/>
                            <w:szCs w:val="18"/>
                          </w:rPr>
                        </w:pPr>
                        <w:r w:rsidRPr="00846EEE">
                          <w:rPr>
                            <w:rFonts w:asciiTheme="minorHAnsi" w:hAnsiTheme="minorHAnsi" w:cstheme="minorHAnsi"/>
                            <w:sz w:val="18"/>
                            <w:szCs w:val="18"/>
                            <w:lang w:val="en-US"/>
                          </w:rPr>
                          <w:t> </w:t>
                        </w:r>
                      </w:p>
                    </w:tc>
                    <w:tc>
                      <w:tcPr>
                        <w:tcW w:w="1643" w:type="dxa"/>
                        <w:tcBorders>
                          <w:top w:val="nil"/>
                          <w:left w:val="nil"/>
                          <w:bottom w:val="nil"/>
                          <w:right w:val="nil"/>
                        </w:tcBorders>
                        <w:shd w:val="clear" w:color="000000" w:fill="FFFFFF"/>
                        <w:vAlign w:val="center"/>
                        <w:hideMark/>
                      </w:tcPr>
                      <w:p w14:paraId="14E87950" w14:textId="6866A776" w:rsidR="00876AEA" w:rsidRPr="00846EEE" w:rsidRDefault="00876AEA" w:rsidP="00876AEA">
                        <w:pPr>
                          <w:spacing w:after="0" w:line="240" w:lineRule="auto"/>
                          <w:jc w:val="right"/>
                          <w:rPr>
                            <w:rFonts w:asciiTheme="minorHAnsi" w:hAnsiTheme="minorHAnsi" w:cstheme="minorHAnsi"/>
                            <w:b/>
                            <w:bCs/>
                            <w:sz w:val="18"/>
                            <w:szCs w:val="18"/>
                          </w:rPr>
                        </w:pPr>
                        <w:r>
                          <w:rPr>
                            <w:rFonts w:asciiTheme="minorHAnsi" w:hAnsiTheme="minorHAnsi" w:cstheme="minorHAnsi"/>
                            <w:b/>
                            <w:bCs/>
                            <w:sz w:val="18"/>
                            <w:szCs w:val="18"/>
                          </w:rPr>
                          <w:t xml:space="preserve">6 </w:t>
                        </w:r>
                        <w:r w:rsidRPr="00846EEE">
                          <w:rPr>
                            <w:rFonts w:asciiTheme="minorHAnsi" w:hAnsiTheme="minorHAnsi" w:cstheme="minorHAnsi"/>
                            <w:b/>
                            <w:bCs/>
                            <w:sz w:val="18"/>
                            <w:szCs w:val="18"/>
                          </w:rPr>
                          <w:t xml:space="preserve">months ended </w:t>
                        </w:r>
                        <w:r>
                          <w:rPr>
                            <w:rFonts w:asciiTheme="minorHAnsi" w:hAnsiTheme="minorHAnsi" w:cstheme="minorHAnsi"/>
                            <w:b/>
                            <w:bCs/>
                            <w:sz w:val="18"/>
                            <w:szCs w:val="18"/>
                          </w:rPr>
                          <w:t>31 January 2023</w:t>
                        </w:r>
                      </w:p>
                    </w:tc>
                    <w:tc>
                      <w:tcPr>
                        <w:tcW w:w="1643" w:type="dxa"/>
                        <w:tcBorders>
                          <w:top w:val="nil"/>
                          <w:left w:val="nil"/>
                          <w:bottom w:val="nil"/>
                          <w:right w:val="nil"/>
                        </w:tcBorders>
                        <w:shd w:val="clear" w:color="000000" w:fill="FFFFFF"/>
                        <w:vAlign w:val="center"/>
                        <w:hideMark/>
                      </w:tcPr>
                      <w:p w14:paraId="1D0D6B30" w14:textId="77777777" w:rsidR="00876AEA" w:rsidRPr="00997EF7" w:rsidRDefault="00876AEA" w:rsidP="00876AEA">
                        <w:pPr>
                          <w:spacing w:after="0" w:line="240" w:lineRule="auto"/>
                          <w:jc w:val="right"/>
                          <w:rPr>
                            <w:rFonts w:asciiTheme="minorHAnsi" w:hAnsiTheme="minorHAnsi" w:cstheme="minorHAnsi"/>
                            <w:sz w:val="18"/>
                            <w:szCs w:val="18"/>
                          </w:rPr>
                        </w:pPr>
                        <w:r w:rsidRPr="00997EF7">
                          <w:rPr>
                            <w:rFonts w:asciiTheme="minorHAnsi" w:hAnsiTheme="minorHAnsi" w:cstheme="minorHAnsi"/>
                            <w:sz w:val="18"/>
                            <w:szCs w:val="18"/>
                          </w:rPr>
                          <w:t xml:space="preserve">6 months </w:t>
                        </w:r>
                        <w:proofErr w:type="gramStart"/>
                        <w:r w:rsidRPr="00997EF7">
                          <w:rPr>
                            <w:rFonts w:asciiTheme="minorHAnsi" w:hAnsiTheme="minorHAnsi" w:cstheme="minorHAnsi"/>
                            <w:sz w:val="18"/>
                            <w:szCs w:val="18"/>
                          </w:rPr>
                          <w:t>ended</w:t>
                        </w:r>
                        <w:proofErr w:type="gramEnd"/>
                        <w:r w:rsidRPr="00997EF7">
                          <w:rPr>
                            <w:rFonts w:asciiTheme="minorHAnsi" w:hAnsiTheme="minorHAnsi" w:cstheme="minorHAnsi"/>
                            <w:sz w:val="18"/>
                            <w:szCs w:val="18"/>
                          </w:rPr>
                          <w:t xml:space="preserve"> </w:t>
                        </w:r>
                      </w:p>
                      <w:p w14:paraId="3582A1A5" w14:textId="5C66E97B" w:rsidR="00876AEA" w:rsidRPr="00997EF7" w:rsidRDefault="00876AEA" w:rsidP="00876AEA">
                        <w:pPr>
                          <w:spacing w:after="0" w:line="240" w:lineRule="auto"/>
                          <w:jc w:val="right"/>
                          <w:rPr>
                            <w:rFonts w:asciiTheme="minorHAnsi" w:hAnsiTheme="minorHAnsi" w:cstheme="minorHAnsi"/>
                            <w:sz w:val="18"/>
                            <w:szCs w:val="18"/>
                          </w:rPr>
                        </w:pPr>
                        <w:r w:rsidRPr="00997EF7">
                          <w:rPr>
                            <w:rFonts w:asciiTheme="minorHAnsi" w:hAnsiTheme="minorHAnsi" w:cstheme="minorHAnsi"/>
                            <w:sz w:val="18"/>
                            <w:szCs w:val="18"/>
                          </w:rPr>
                          <w:t>31 January 2022</w:t>
                        </w:r>
                      </w:p>
                    </w:tc>
                    <w:tc>
                      <w:tcPr>
                        <w:tcW w:w="1644" w:type="dxa"/>
                        <w:tcBorders>
                          <w:top w:val="nil"/>
                          <w:left w:val="nil"/>
                          <w:bottom w:val="nil"/>
                          <w:right w:val="nil"/>
                        </w:tcBorders>
                        <w:shd w:val="clear" w:color="000000" w:fill="FFFFFF"/>
                        <w:vAlign w:val="center"/>
                        <w:hideMark/>
                      </w:tcPr>
                      <w:p w14:paraId="1B39176E" w14:textId="77777777" w:rsidR="00876AEA" w:rsidRPr="00997EF7" w:rsidRDefault="00876AEA" w:rsidP="00876AEA">
                        <w:pPr>
                          <w:spacing w:after="0" w:line="240" w:lineRule="auto"/>
                          <w:jc w:val="right"/>
                          <w:rPr>
                            <w:rFonts w:asciiTheme="minorHAnsi" w:hAnsiTheme="minorHAnsi" w:cstheme="minorHAnsi"/>
                            <w:sz w:val="18"/>
                            <w:szCs w:val="18"/>
                            <w:lang w:val="en-US"/>
                          </w:rPr>
                        </w:pPr>
                        <w:r w:rsidRPr="00997EF7">
                          <w:rPr>
                            <w:rFonts w:asciiTheme="minorHAnsi" w:hAnsiTheme="minorHAnsi" w:cstheme="minorHAnsi"/>
                            <w:sz w:val="18"/>
                            <w:szCs w:val="18"/>
                            <w:lang w:val="en-US"/>
                          </w:rPr>
                          <w:t xml:space="preserve">Year </w:t>
                        </w:r>
                        <w:proofErr w:type="gramStart"/>
                        <w:r w:rsidRPr="00997EF7">
                          <w:rPr>
                            <w:rFonts w:asciiTheme="minorHAnsi" w:hAnsiTheme="minorHAnsi" w:cstheme="minorHAnsi"/>
                            <w:sz w:val="18"/>
                            <w:szCs w:val="18"/>
                            <w:lang w:val="en-US"/>
                          </w:rPr>
                          <w:t>ended</w:t>
                        </w:r>
                        <w:proofErr w:type="gramEnd"/>
                        <w:r w:rsidRPr="00997EF7">
                          <w:rPr>
                            <w:rFonts w:asciiTheme="minorHAnsi" w:hAnsiTheme="minorHAnsi" w:cstheme="minorHAnsi"/>
                            <w:sz w:val="18"/>
                            <w:szCs w:val="18"/>
                            <w:lang w:val="en-US"/>
                          </w:rPr>
                          <w:t xml:space="preserve"> </w:t>
                        </w:r>
                      </w:p>
                      <w:p w14:paraId="6F7FF787" w14:textId="7317ED4C" w:rsidR="00876AEA" w:rsidRPr="00997EF7" w:rsidRDefault="00876AEA" w:rsidP="00876AEA">
                        <w:pPr>
                          <w:spacing w:after="0" w:line="240" w:lineRule="auto"/>
                          <w:jc w:val="right"/>
                          <w:rPr>
                            <w:rFonts w:asciiTheme="minorHAnsi" w:hAnsiTheme="minorHAnsi" w:cstheme="minorHAnsi"/>
                            <w:sz w:val="18"/>
                            <w:szCs w:val="18"/>
                          </w:rPr>
                        </w:pPr>
                        <w:r w:rsidRPr="00997EF7">
                          <w:rPr>
                            <w:rFonts w:asciiTheme="minorHAnsi" w:hAnsiTheme="minorHAnsi" w:cstheme="minorHAnsi"/>
                            <w:sz w:val="18"/>
                            <w:szCs w:val="18"/>
                            <w:lang w:val="en-US"/>
                          </w:rPr>
                          <w:t>31 July 2022</w:t>
                        </w:r>
                      </w:p>
                    </w:tc>
                  </w:tr>
                  <w:tr w:rsidR="00BC25D7" w:rsidRPr="00551D5A" w14:paraId="3531EEF7" w14:textId="77777777" w:rsidTr="00997EF7">
                    <w:trPr>
                      <w:trHeight w:val="246"/>
                    </w:trPr>
                    <w:tc>
                      <w:tcPr>
                        <w:tcW w:w="4324" w:type="dxa"/>
                        <w:tcBorders>
                          <w:top w:val="nil"/>
                          <w:left w:val="nil"/>
                          <w:bottom w:val="single" w:sz="8" w:space="0" w:color="auto"/>
                          <w:right w:val="nil"/>
                        </w:tcBorders>
                        <w:shd w:val="clear" w:color="000000" w:fill="FFFFFF"/>
                        <w:vAlign w:val="center"/>
                        <w:hideMark/>
                      </w:tcPr>
                      <w:p w14:paraId="304BFCD4" w14:textId="77777777" w:rsidR="00BC25D7" w:rsidRPr="00846EEE" w:rsidRDefault="00BC25D7" w:rsidP="00997EF7">
                        <w:pPr>
                          <w:spacing w:after="0" w:line="240" w:lineRule="auto"/>
                          <w:ind w:left="-170" w:firstLine="68"/>
                          <w:jc w:val="both"/>
                          <w:rPr>
                            <w:rFonts w:asciiTheme="minorHAnsi" w:hAnsiTheme="minorHAnsi" w:cstheme="minorHAnsi"/>
                            <w:b/>
                            <w:bCs/>
                            <w:sz w:val="18"/>
                            <w:szCs w:val="18"/>
                          </w:rPr>
                        </w:pPr>
                        <w:r w:rsidRPr="00846EEE">
                          <w:rPr>
                            <w:rFonts w:asciiTheme="minorHAnsi" w:hAnsiTheme="minorHAnsi" w:cstheme="minorHAnsi"/>
                            <w:b/>
                            <w:bCs/>
                            <w:sz w:val="18"/>
                            <w:szCs w:val="18"/>
                            <w:lang w:val="en-US"/>
                          </w:rPr>
                          <w:lastRenderedPageBreak/>
                          <w:t>Analysis of revenue by product:</w:t>
                        </w:r>
                      </w:p>
                    </w:tc>
                    <w:tc>
                      <w:tcPr>
                        <w:tcW w:w="1643" w:type="dxa"/>
                        <w:tcBorders>
                          <w:top w:val="nil"/>
                          <w:left w:val="nil"/>
                          <w:bottom w:val="single" w:sz="8" w:space="0" w:color="auto"/>
                          <w:right w:val="nil"/>
                        </w:tcBorders>
                        <w:shd w:val="clear" w:color="000000" w:fill="FFFFFF"/>
                        <w:vAlign w:val="center"/>
                        <w:hideMark/>
                      </w:tcPr>
                      <w:p w14:paraId="6E2F1B0B" w14:textId="439DC18F" w:rsidR="00BC25D7" w:rsidRPr="00846EEE" w:rsidRDefault="00BC25D7" w:rsidP="00BC25D7">
                        <w:pPr>
                          <w:spacing w:after="0" w:line="240" w:lineRule="auto"/>
                          <w:jc w:val="right"/>
                          <w:rPr>
                            <w:rFonts w:asciiTheme="minorHAnsi" w:hAnsiTheme="minorHAnsi" w:cstheme="minorHAnsi"/>
                            <w:sz w:val="18"/>
                            <w:szCs w:val="18"/>
                          </w:rPr>
                        </w:pPr>
                        <w:r w:rsidRPr="00846EEE">
                          <w:rPr>
                            <w:rFonts w:asciiTheme="minorHAnsi" w:hAnsiTheme="minorHAnsi" w:cstheme="minorHAnsi"/>
                            <w:b/>
                            <w:bCs/>
                            <w:sz w:val="18"/>
                            <w:szCs w:val="18"/>
                            <w:lang w:val="en-US"/>
                          </w:rPr>
                          <w:t>£’000</w:t>
                        </w:r>
                      </w:p>
                    </w:tc>
                    <w:tc>
                      <w:tcPr>
                        <w:tcW w:w="1643" w:type="dxa"/>
                        <w:tcBorders>
                          <w:top w:val="nil"/>
                          <w:left w:val="nil"/>
                          <w:bottom w:val="single" w:sz="8" w:space="0" w:color="auto"/>
                          <w:right w:val="nil"/>
                        </w:tcBorders>
                        <w:shd w:val="clear" w:color="000000" w:fill="FFFFFF"/>
                        <w:vAlign w:val="center"/>
                        <w:hideMark/>
                      </w:tcPr>
                      <w:p w14:paraId="202D6085" w14:textId="1A404E08" w:rsidR="00BC25D7" w:rsidRPr="00876AEA" w:rsidRDefault="00BC25D7" w:rsidP="00BC25D7">
                        <w:pPr>
                          <w:spacing w:after="0" w:line="240" w:lineRule="auto"/>
                          <w:jc w:val="right"/>
                          <w:rPr>
                            <w:rFonts w:asciiTheme="minorHAnsi" w:hAnsiTheme="minorHAnsi" w:cstheme="minorHAnsi"/>
                            <w:sz w:val="18"/>
                            <w:szCs w:val="18"/>
                          </w:rPr>
                        </w:pPr>
                        <w:r w:rsidRPr="00997EF7">
                          <w:rPr>
                            <w:rFonts w:asciiTheme="minorHAnsi" w:hAnsiTheme="minorHAnsi" w:cstheme="minorHAnsi"/>
                            <w:sz w:val="18"/>
                            <w:szCs w:val="18"/>
                            <w:lang w:val="en-US"/>
                          </w:rPr>
                          <w:t>£’000</w:t>
                        </w:r>
                      </w:p>
                    </w:tc>
                    <w:tc>
                      <w:tcPr>
                        <w:tcW w:w="1644" w:type="dxa"/>
                        <w:tcBorders>
                          <w:top w:val="nil"/>
                          <w:left w:val="nil"/>
                          <w:bottom w:val="single" w:sz="8" w:space="0" w:color="auto"/>
                          <w:right w:val="nil"/>
                        </w:tcBorders>
                        <w:shd w:val="clear" w:color="000000" w:fill="FFFFFF"/>
                        <w:vAlign w:val="center"/>
                        <w:hideMark/>
                      </w:tcPr>
                      <w:p w14:paraId="07DC9AF9" w14:textId="4A02CEE2" w:rsidR="00BC25D7" w:rsidRPr="00876AEA" w:rsidRDefault="00BC25D7" w:rsidP="00BC25D7">
                        <w:pPr>
                          <w:spacing w:after="0" w:line="240" w:lineRule="auto"/>
                          <w:jc w:val="right"/>
                          <w:rPr>
                            <w:rFonts w:asciiTheme="minorHAnsi" w:hAnsiTheme="minorHAnsi" w:cstheme="minorHAnsi"/>
                            <w:sz w:val="18"/>
                            <w:szCs w:val="18"/>
                          </w:rPr>
                        </w:pPr>
                        <w:r w:rsidRPr="00997EF7">
                          <w:rPr>
                            <w:rFonts w:asciiTheme="minorHAnsi" w:hAnsiTheme="minorHAnsi" w:cstheme="minorHAnsi"/>
                            <w:sz w:val="18"/>
                            <w:szCs w:val="18"/>
                            <w:lang w:val="en-US"/>
                          </w:rPr>
                          <w:t>£’000</w:t>
                        </w:r>
                      </w:p>
                    </w:tc>
                  </w:tr>
                  <w:tr w:rsidR="000469A9" w:rsidRPr="00551D5A" w14:paraId="5783D8F7" w14:textId="77777777" w:rsidTr="00997EF7">
                    <w:trPr>
                      <w:trHeight w:val="234"/>
                    </w:trPr>
                    <w:tc>
                      <w:tcPr>
                        <w:tcW w:w="4324" w:type="dxa"/>
                        <w:tcBorders>
                          <w:top w:val="nil"/>
                          <w:left w:val="nil"/>
                          <w:bottom w:val="nil"/>
                          <w:right w:val="nil"/>
                        </w:tcBorders>
                        <w:shd w:val="clear" w:color="000000" w:fill="FFFFFF"/>
                        <w:vAlign w:val="center"/>
                        <w:hideMark/>
                      </w:tcPr>
                      <w:p w14:paraId="57A94F86" w14:textId="77777777" w:rsidR="000469A9" w:rsidRPr="00846EEE" w:rsidRDefault="000469A9" w:rsidP="00997EF7">
                        <w:pPr>
                          <w:spacing w:after="0" w:line="240" w:lineRule="auto"/>
                          <w:ind w:left="-170" w:firstLine="68"/>
                          <w:jc w:val="both"/>
                          <w:rPr>
                            <w:rFonts w:asciiTheme="minorHAnsi" w:hAnsiTheme="minorHAnsi" w:cstheme="minorHAnsi"/>
                            <w:sz w:val="18"/>
                            <w:szCs w:val="18"/>
                          </w:rPr>
                        </w:pPr>
                        <w:r w:rsidRPr="00846EEE">
                          <w:rPr>
                            <w:rFonts w:asciiTheme="minorHAnsi" w:hAnsiTheme="minorHAnsi" w:cstheme="minorHAnsi"/>
                            <w:sz w:val="18"/>
                            <w:szCs w:val="18"/>
                            <w:lang w:val="en-US"/>
                          </w:rPr>
                          <w:t>Small domestic appliances</w:t>
                        </w:r>
                      </w:p>
                    </w:tc>
                    <w:tc>
                      <w:tcPr>
                        <w:tcW w:w="1643" w:type="dxa"/>
                        <w:tcBorders>
                          <w:top w:val="nil"/>
                          <w:left w:val="nil"/>
                          <w:bottom w:val="nil"/>
                          <w:right w:val="nil"/>
                        </w:tcBorders>
                        <w:shd w:val="clear" w:color="000000" w:fill="FFFFFF"/>
                        <w:vAlign w:val="center"/>
                        <w:hideMark/>
                      </w:tcPr>
                      <w:p w14:paraId="155CA0B3" w14:textId="2A22CEBD" w:rsidR="000469A9" w:rsidRPr="00846EEE" w:rsidRDefault="000469A9" w:rsidP="000469A9">
                        <w:pPr>
                          <w:spacing w:after="0" w:line="240" w:lineRule="auto"/>
                          <w:jc w:val="right"/>
                          <w:rPr>
                            <w:rFonts w:asciiTheme="minorHAnsi" w:hAnsiTheme="minorHAnsi" w:cstheme="minorHAnsi"/>
                            <w:sz w:val="18"/>
                            <w:szCs w:val="18"/>
                          </w:rPr>
                        </w:pPr>
                        <w:r>
                          <w:rPr>
                            <w:rFonts w:cs="Calibri"/>
                            <w:color w:val="000000"/>
                            <w:sz w:val="18"/>
                            <w:szCs w:val="18"/>
                          </w:rPr>
                          <w:t>36,695</w:t>
                        </w:r>
                      </w:p>
                    </w:tc>
                    <w:tc>
                      <w:tcPr>
                        <w:tcW w:w="1643" w:type="dxa"/>
                        <w:tcBorders>
                          <w:top w:val="nil"/>
                          <w:left w:val="nil"/>
                          <w:bottom w:val="nil"/>
                          <w:right w:val="nil"/>
                        </w:tcBorders>
                        <w:shd w:val="clear" w:color="000000" w:fill="FFFFFF"/>
                        <w:vAlign w:val="center"/>
                        <w:hideMark/>
                      </w:tcPr>
                      <w:p w14:paraId="1D8D9E6A" w14:textId="77777777" w:rsidR="000469A9" w:rsidRPr="00876AEA" w:rsidRDefault="000469A9" w:rsidP="000469A9">
                        <w:pPr>
                          <w:spacing w:after="0" w:line="240" w:lineRule="auto"/>
                          <w:jc w:val="right"/>
                          <w:rPr>
                            <w:rFonts w:asciiTheme="minorHAnsi" w:hAnsiTheme="minorHAnsi" w:cstheme="minorHAnsi"/>
                            <w:color w:val="000000"/>
                            <w:sz w:val="18"/>
                            <w:szCs w:val="18"/>
                          </w:rPr>
                        </w:pPr>
                        <w:r w:rsidRPr="00876AEA">
                          <w:rPr>
                            <w:rFonts w:asciiTheme="minorHAnsi" w:hAnsiTheme="minorHAnsi" w:cstheme="minorHAnsi"/>
                            <w:color w:val="000000"/>
                            <w:sz w:val="18"/>
                            <w:szCs w:val="18"/>
                          </w:rPr>
                          <w:t>31,915</w:t>
                        </w:r>
                      </w:p>
                    </w:tc>
                    <w:tc>
                      <w:tcPr>
                        <w:tcW w:w="1644" w:type="dxa"/>
                        <w:tcBorders>
                          <w:top w:val="nil"/>
                          <w:left w:val="nil"/>
                          <w:bottom w:val="nil"/>
                          <w:right w:val="nil"/>
                        </w:tcBorders>
                        <w:shd w:val="clear" w:color="000000" w:fill="FFFFFF"/>
                        <w:vAlign w:val="center"/>
                        <w:hideMark/>
                      </w:tcPr>
                      <w:p w14:paraId="5D030280" w14:textId="77777777" w:rsidR="000469A9" w:rsidRPr="00876AEA" w:rsidRDefault="000469A9" w:rsidP="000469A9">
                        <w:pPr>
                          <w:spacing w:after="0" w:line="240" w:lineRule="auto"/>
                          <w:jc w:val="right"/>
                          <w:rPr>
                            <w:rFonts w:asciiTheme="minorHAnsi" w:hAnsiTheme="minorHAnsi" w:cstheme="minorHAnsi"/>
                            <w:color w:val="000000"/>
                            <w:sz w:val="18"/>
                            <w:szCs w:val="18"/>
                          </w:rPr>
                        </w:pPr>
                        <w:r w:rsidRPr="00876AEA">
                          <w:rPr>
                            <w:rFonts w:asciiTheme="minorHAnsi" w:hAnsiTheme="minorHAnsi" w:cstheme="minorHAnsi"/>
                            <w:color w:val="000000"/>
                            <w:sz w:val="18"/>
                            <w:szCs w:val="18"/>
                            <w:lang w:val="x-none"/>
                          </w:rPr>
                          <w:t>57,032</w:t>
                        </w:r>
                      </w:p>
                    </w:tc>
                  </w:tr>
                  <w:tr w:rsidR="000469A9" w:rsidRPr="00551D5A" w14:paraId="2A1A1B2F" w14:textId="77777777" w:rsidTr="00997EF7">
                    <w:trPr>
                      <w:trHeight w:val="234"/>
                    </w:trPr>
                    <w:tc>
                      <w:tcPr>
                        <w:tcW w:w="4324" w:type="dxa"/>
                        <w:tcBorders>
                          <w:top w:val="nil"/>
                          <w:left w:val="nil"/>
                          <w:bottom w:val="nil"/>
                          <w:right w:val="nil"/>
                        </w:tcBorders>
                        <w:shd w:val="clear" w:color="000000" w:fill="FFFFFF"/>
                        <w:vAlign w:val="center"/>
                        <w:hideMark/>
                      </w:tcPr>
                      <w:p w14:paraId="78276E38" w14:textId="77777777" w:rsidR="000469A9" w:rsidRPr="00846EEE" w:rsidRDefault="000469A9" w:rsidP="00997EF7">
                        <w:pPr>
                          <w:spacing w:after="0" w:line="240" w:lineRule="auto"/>
                          <w:ind w:left="-170" w:firstLine="68"/>
                          <w:jc w:val="both"/>
                          <w:rPr>
                            <w:rFonts w:asciiTheme="minorHAnsi" w:hAnsiTheme="minorHAnsi" w:cstheme="minorHAnsi"/>
                            <w:sz w:val="18"/>
                            <w:szCs w:val="18"/>
                          </w:rPr>
                        </w:pPr>
                        <w:r w:rsidRPr="00846EEE">
                          <w:rPr>
                            <w:rFonts w:asciiTheme="minorHAnsi" w:hAnsiTheme="minorHAnsi" w:cstheme="minorHAnsi"/>
                            <w:sz w:val="18"/>
                            <w:szCs w:val="18"/>
                            <w:lang w:val="en-US"/>
                          </w:rPr>
                          <w:t>Housewares</w:t>
                        </w:r>
                      </w:p>
                    </w:tc>
                    <w:tc>
                      <w:tcPr>
                        <w:tcW w:w="1643" w:type="dxa"/>
                        <w:tcBorders>
                          <w:top w:val="nil"/>
                          <w:left w:val="nil"/>
                          <w:bottom w:val="nil"/>
                          <w:right w:val="nil"/>
                        </w:tcBorders>
                        <w:shd w:val="clear" w:color="000000" w:fill="FFFFFF"/>
                        <w:vAlign w:val="center"/>
                        <w:hideMark/>
                      </w:tcPr>
                      <w:p w14:paraId="1BBC492A" w14:textId="14620234" w:rsidR="000469A9" w:rsidRPr="00846EEE" w:rsidRDefault="000469A9" w:rsidP="000469A9">
                        <w:pPr>
                          <w:spacing w:after="0" w:line="240" w:lineRule="auto"/>
                          <w:jc w:val="right"/>
                          <w:rPr>
                            <w:rFonts w:asciiTheme="minorHAnsi" w:hAnsiTheme="minorHAnsi" w:cstheme="minorHAnsi"/>
                            <w:sz w:val="18"/>
                            <w:szCs w:val="18"/>
                          </w:rPr>
                        </w:pPr>
                        <w:r>
                          <w:rPr>
                            <w:rFonts w:cs="Calibri"/>
                            <w:color w:val="000000"/>
                            <w:sz w:val="18"/>
                            <w:szCs w:val="18"/>
                          </w:rPr>
                          <w:t>26,483</w:t>
                        </w:r>
                      </w:p>
                    </w:tc>
                    <w:tc>
                      <w:tcPr>
                        <w:tcW w:w="1643" w:type="dxa"/>
                        <w:tcBorders>
                          <w:top w:val="nil"/>
                          <w:left w:val="nil"/>
                          <w:bottom w:val="nil"/>
                          <w:right w:val="nil"/>
                        </w:tcBorders>
                        <w:shd w:val="clear" w:color="000000" w:fill="FFFFFF"/>
                        <w:vAlign w:val="center"/>
                        <w:hideMark/>
                      </w:tcPr>
                      <w:p w14:paraId="214F9C9D" w14:textId="77777777" w:rsidR="000469A9" w:rsidRPr="00876AEA" w:rsidRDefault="000469A9" w:rsidP="000469A9">
                        <w:pPr>
                          <w:spacing w:after="0" w:line="240" w:lineRule="auto"/>
                          <w:jc w:val="right"/>
                          <w:rPr>
                            <w:rFonts w:asciiTheme="minorHAnsi" w:hAnsiTheme="minorHAnsi" w:cstheme="minorHAnsi"/>
                            <w:color w:val="000000"/>
                            <w:sz w:val="18"/>
                            <w:szCs w:val="18"/>
                          </w:rPr>
                        </w:pPr>
                        <w:r w:rsidRPr="00876AEA">
                          <w:rPr>
                            <w:rFonts w:asciiTheme="minorHAnsi" w:hAnsiTheme="minorHAnsi" w:cstheme="minorHAnsi"/>
                            <w:color w:val="000000"/>
                            <w:sz w:val="18"/>
                            <w:szCs w:val="18"/>
                          </w:rPr>
                          <w:t>32,365</w:t>
                        </w:r>
                      </w:p>
                    </w:tc>
                    <w:tc>
                      <w:tcPr>
                        <w:tcW w:w="1644" w:type="dxa"/>
                        <w:tcBorders>
                          <w:top w:val="nil"/>
                          <w:left w:val="nil"/>
                          <w:bottom w:val="nil"/>
                          <w:right w:val="nil"/>
                        </w:tcBorders>
                        <w:shd w:val="clear" w:color="000000" w:fill="FFFFFF"/>
                        <w:vAlign w:val="center"/>
                        <w:hideMark/>
                      </w:tcPr>
                      <w:p w14:paraId="0637EA09" w14:textId="77777777" w:rsidR="000469A9" w:rsidRPr="00876AEA" w:rsidRDefault="000469A9" w:rsidP="000469A9">
                        <w:pPr>
                          <w:spacing w:after="0" w:line="240" w:lineRule="auto"/>
                          <w:jc w:val="right"/>
                          <w:rPr>
                            <w:rFonts w:asciiTheme="minorHAnsi" w:hAnsiTheme="minorHAnsi" w:cstheme="minorHAnsi"/>
                            <w:color w:val="000000"/>
                            <w:sz w:val="18"/>
                            <w:szCs w:val="18"/>
                          </w:rPr>
                        </w:pPr>
                        <w:r w:rsidRPr="00876AEA">
                          <w:rPr>
                            <w:rFonts w:asciiTheme="minorHAnsi" w:hAnsiTheme="minorHAnsi" w:cstheme="minorHAnsi"/>
                            <w:color w:val="000000"/>
                            <w:sz w:val="18"/>
                            <w:szCs w:val="18"/>
                            <w:lang w:val="x-none"/>
                          </w:rPr>
                          <w:t>54,539</w:t>
                        </w:r>
                      </w:p>
                    </w:tc>
                  </w:tr>
                  <w:tr w:rsidR="000469A9" w:rsidRPr="00551D5A" w14:paraId="7171424C" w14:textId="77777777" w:rsidTr="00997EF7">
                    <w:trPr>
                      <w:trHeight w:val="234"/>
                    </w:trPr>
                    <w:tc>
                      <w:tcPr>
                        <w:tcW w:w="4324" w:type="dxa"/>
                        <w:tcBorders>
                          <w:top w:val="nil"/>
                          <w:left w:val="nil"/>
                          <w:bottom w:val="nil"/>
                          <w:right w:val="nil"/>
                        </w:tcBorders>
                        <w:shd w:val="clear" w:color="000000" w:fill="FFFFFF"/>
                        <w:vAlign w:val="center"/>
                        <w:hideMark/>
                      </w:tcPr>
                      <w:p w14:paraId="4691B197" w14:textId="77777777" w:rsidR="000469A9" w:rsidRPr="00846EEE" w:rsidRDefault="000469A9" w:rsidP="00997EF7">
                        <w:pPr>
                          <w:spacing w:after="0" w:line="240" w:lineRule="auto"/>
                          <w:ind w:left="-170" w:firstLine="68"/>
                          <w:jc w:val="both"/>
                          <w:rPr>
                            <w:rFonts w:asciiTheme="minorHAnsi" w:hAnsiTheme="minorHAnsi" w:cstheme="minorHAnsi"/>
                            <w:sz w:val="18"/>
                            <w:szCs w:val="18"/>
                          </w:rPr>
                        </w:pPr>
                        <w:r w:rsidRPr="00846EEE">
                          <w:rPr>
                            <w:rFonts w:asciiTheme="minorHAnsi" w:hAnsiTheme="minorHAnsi" w:cstheme="minorHAnsi"/>
                            <w:sz w:val="18"/>
                            <w:szCs w:val="18"/>
                            <w:lang w:val="en-US"/>
                          </w:rPr>
                          <w:t>Laundry</w:t>
                        </w:r>
                      </w:p>
                    </w:tc>
                    <w:tc>
                      <w:tcPr>
                        <w:tcW w:w="1643" w:type="dxa"/>
                        <w:tcBorders>
                          <w:top w:val="nil"/>
                          <w:left w:val="nil"/>
                          <w:bottom w:val="nil"/>
                          <w:right w:val="nil"/>
                        </w:tcBorders>
                        <w:shd w:val="clear" w:color="000000" w:fill="FFFFFF"/>
                        <w:vAlign w:val="center"/>
                        <w:hideMark/>
                      </w:tcPr>
                      <w:p w14:paraId="5E56CDB0" w14:textId="0EFB3AB1" w:rsidR="000469A9" w:rsidRPr="00846EEE" w:rsidRDefault="000469A9" w:rsidP="000469A9">
                        <w:pPr>
                          <w:spacing w:after="0" w:line="240" w:lineRule="auto"/>
                          <w:jc w:val="right"/>
                          <w:rPr>
                            <w:rFonts w:asciiTheme="minorHAnsi" w:hAnsiTheme="minorHAnsi" w:cstheme="minorHAnsi"/>
                            <w:sz w:val="18"/>
                            <w:szCs w:val="18"/>
                          </w:rPr>
                        </w:pPr>
                        <w:r>
                          <w:rPr>
                            <w:rFonts w:cs="Calibri"/>
                            <w:color w:val="000000"/>
                            <w:sz w:val="18"/>
                            <w:szCs w:val="18"/>
                          </w:rPr>
                          <w:t>8,621</w:t>
                        </w:r>
                      </w:p>
                    </w:tc>
                    <w:tc>
                      <w:tcPr>
                        <w:tcW w:w="1643" w:type="dxa"/>
                        <w:tcBorders>
                          <w:top w:val="nil"/>
                          <w:left w:val="nil"/>
                          <w:bottom w:val="nil"/>
                          <w:right w:val="nil"/>
                        </w:tcBorders>
                        <w:shd w:val="clear" w:color="000000" w:fill="FFFFFF"/>
                        <w:vAlign w:val="center"/>
                        <w:hideMark/>
                      </w:tcPr>
                      <w:p w14:paraId="431DBEFD" w14:textId="77777777" w:rsidR="000469A9" w:rsidRPr="00876AEA" w:rsidRDefault="000469A9" w:rsidP="000469A9">
                        <w:pPr>
                          <w:spacing w:after="0" w:line="240" w:lineRule="auto"/>
                          <w:jc w:val="right"/>
                          <w:rPr>
                            <w:rFonts w:asciiTheme="minorHAnsi" w:hAnsiTheme="minorHAnsi" w:cstheme="minorHAnsi"/>
                            <w:color w:val="000000"/>
                            <w:sz w:val="18"/>
                            <w:szCs w:val="18"/>
                          </w:rPr>
                        </w:pPr>
                        <w:r w:rsidRPr="00876AEA">
                          <w:rPr>
                            <w:rFonts w:asciiTheme="minorHAnsi" w:hAnsiTheme="minorHAnsi" w:cstheme="minorHAnsi"/>
                            <w:color w:val="000000"/>
                            <w:sz w:val="18"/>
                            <w:szCs w:val="18"/>
                          </w:rPr>
                          <w:t>8,070</w:t>
                        </w:r>
                      </w:p>
                    </w:tc>
                    <w:tc>
                      <w:tcPr>
                        <w:tcW w:w="1644" w:type="dxa"/>
                        <w:tcBorders>
                          <w:top w:val="nil"/>
                          <w:left w:val="nil"/>
                          <w:bottom w:val="nil"/>
                          <w:right w:val="nil"/>
                        </w:tcBorders>
                        <w:shd w:val="clear" w:color="000000" w:fill="FFFFFF"/>
                        <w:vAlign w:val="center"/>
                        <w:hideMark/>
                      </w:tcPr>
                      <w:p w14:paraId="6734D8E2" w14:textId="77777777" w:rsidR="000469A9" w:rsidRPr="00876AEA" w:rsidRDefault="000469A9" w:rsidP="000469A9">
                        <w:pPr>
                          <w:spacing w:after="0" w:line="240" w:lineRule="auto"/>
                          <w:jc w:val="right"/>
                          <w:rPr>
                            <w:rFonts w:asciiTheme="minorHAnsi" w:hAnsiTheme="minorHAnsi" w:cstheme="minorHAnsi"/>
                            <w:color w:val="000000"/>
                            <w:sz w:val="18"/>
                            <w:szCs w:val="18"/>
                          </w:rPr>
                        </w:pPr>
                        <w:r w:rsidRPr="00876AEA">
                          <w:rPr>
                            <w:rFonts w:asciiTheme="minorHAnsi" w:hAnsiTheme="minorHAnsi" w:cstheme="minorHAnsi"/>
                            <w:color w:val="000000"/>
                            <w:sz w:val="18"/>
                            <w:szCs w:val="18"/>
                            <w:lang w:val="x-none"/>
                          </w:rPr>
                          <w:t>14,799</w:t>
                        </w:r>
                      </w:p>
                    </w:tc>
                  </w:tr>
                  <w:tr w:rsidR="000469A9" w:rsidRPr="00551D5A" w14:paraId="16586B38" w14:textId="77777777" w:rsidTr="00997EF7">
                    <w:trPr>
                      <w:trHeight w:val="234"/>
                    </w:trPr>
                    <w:tc>
                      <w:tcPr>
                        <w:tcW w:w="4324" w:type="dxa"/>
                        <w:tcBorders>
                          <w:top w:val="nil"/>
                          <w:left w:val="nil"/>
                          <w:bottom w:val="nil"/>
                          <w:right w:val="nil"/>
                        </w:tcBorders>
                        <w:shd w:val="clear" w:color="000000" w:fill="FFFFFF"/>
                        <w:vAlign w:val="center"/>
                        <w:hideMark/>
                      </w:tcPr>
                      <w:p w14:paraId="2109428A" w14:textId="77777777" w:rsidR="000469A9" w:rsidRPr="00846EEE" w:rsidRDefault="000469A9" w:rsidP="00997EF7">
                        <w:pPr>
                          <w:spacing w:after="0" w:line="240" w:lineRule="auto"/>
                          <w:ind w:left="-170" w:firstLine="68"/>
                          <w:jc w:val="both"/>
                          <w:rPr>
                            <w:rFonts w:asciiTheme="minorHAnsi" w:hAnsiTheme="minorHAnsi" w:cstheme="minorHAnsi"/>
                            <w:sz w:val="18"/>
                            <w:szCs w:val="18"/>
                          </w:rPr>
                        </w:pPr>
                        <w:r w:rsidRPr="00846EEE">
                          <w:rPr>
                            <w:rFonts w:asciiTheme="minorHAnsi" w:hAnsiTheme="minorHAnsi" w:cstheme="minorHAnsi"/>
                            <w:sz w:val="18"/>
                            <w:szCs w:val="18"/>
                            <w:lang w:val="en-US"/>
                          </w:rPr>
                          <w:t>Audio</w:t>
                        </w:r>
                      </w:p>
                    </w:tc>
                    <w:tc>
                      <w:tcPr>
                        <w:tcW w:w="1643" w:type="dxa"/>
                        <w:tcBorders>
                          <w:top w:val="nil"/>
                          <w:left w:val="nil"/>
                          <w:bottom w:val="nil"/>
                          <w:right w:val="nil"/>
                        </w:tcBorders>
                        <w:shd w:val="clear" w:color="000000" w:fill="FFFFFF"/>
                        <w:vAlign w:val="center"/>
                        <w:hideMark/>
                      </w:tcPr>
                      <w:p w14:paraId="7B4A7561" w14:textId="57075BCF" w:rsidR="000469A9" w:rsidRPr="00846EEE" w:rsidRDefault="000469A9" w:rsidP="000469A9">
                        <w:pPr>
                          <w:spacing w:after="0" w:line="240" w:lineRule="auto"/>
                          <w:jc w:val="right"/>
                          <w:rPr>
                            <w:rFonts w:asciiTheme="minorHAnsi" w:hAnsiTheme="minorHAnsi" w:cstheme="minorHAnsi"/>
                            <w:sz w:val="18"/>
                            <w:szCs w:val="18"/>
                          </w:rPr>
                        </w:pPr>
                        <w:r>
                          <w:rPr>
                            <w:rFonts w:cs="Calibri"/>
                            <w:color w:val="000000"/>
                            <w:sz w:val="18"/>
                            <w:szCs w:val="18"/>
                          </w:rPr>
                          <w:t>7,157</w:t>
                        </w:r>
                      </w:p>
                    </w:tc>
                    <w:tc>
                      <w:tcPr>
                        <w:tcW w:w="1643" w:type="dxa"/>
                        <w:tcBorders>
                          <w:top w:val="nil"/>
                          <w:left w:val="nil"/>
                          <w:bottom w:val="nil"/>
                          <w:right w:val="nil"/>
                        </w:tcBorders>
                        <w:shd w:val="clear" w:color="000000" w:fill="FFFFFF"/>
                        <w:vAlign w:val="center"/>
                        <w:hideMark/>
                      </w:tcPr>
                      <w:p w14:paraId="728614DA" w14:textId="77777777" w:rsidR="000469A9" w:rsidRPr="00876AEA" w:rsidRDefault="000469A9" w:rsidP="000469A9">
                        <w:pPr>
                          <w:spacing w:after="0" w:line="240" w:lineRule="auto"/>
                          <w:jc w:val="right"/>
                          <w:rPr>
                            <w:rFonts w:asciiTheme="minorHAnsi" w:hAnsiTheme="minorHAnsi" w:cstheme="minorHAnsi"/>
                            <w:color w:val="000000"/>
                            <w:sz w:val="18"/>
                            <w:szCs w:val="18"/>
                          </w:rPr>
                        </w:pPr>
                        <w:r w:rsidRPr="00876AEA">
                          <w:rPr>
                            <w:rFonts w:asciiTheme="minorHAnsi" w:hAnsiTheme="minorHAnsi" w:cstheme="minorHAnsi"/>
                            <w:color w:val="000000"/>
                            <w:sz w:val="18"/>
                            <w:szCs w:val="18"/>
                          </w:rPr>
                          <w:t>5,569</w:t>
                        </w:r>
                      </w:p>
                    </w:tc>
                    <w:tc>
                      <w:tcPr>
                        <w:tcW w:w="1644" w:type="dxa"/>
                        <w:tcBorders>
                          <w:top w:val="nil"/>
                          <w:left w:val="nil"/>
                          <w:bottom w:val="nil"/>
                          <w:right w:val="nil"/>
                        </w:tcBorders>
                        <w:shd w:val="clear" w:color="000000" w:fill="FFFFFF"/>
                        <w:vAlign w:val="center"/>
                        <w:hideMark/>
                      </w:tcPr>
                      <w:p w14:paraId="1CDAF0E6" w14:textId="77777777" w:rsidR="000469A9" w:rsidRPr="00876AEA" w:rsidRDefault="000469A9" w:rsidP="000469A9">
                        <w:pPr>
                          <w:spacing w:after="0" w:line="240" w:lineRule="auto"/>
                          <w:jc w:val="right"/>
                          <w:rPr>
                            <w:rFonts w:asciiTheme="minorHAnsi" w:hAnsiTheme="minorHAnsi" w:cstheme="minorHAnsi"/>
                            <w:color w:val="000000"/>
                            <w:sz w:val="18"/>
                            <w:szCs w:val="18"/>
                          </w:rPr>
                        </w:pPr>
                        <w:r w:rsidRPr="00876AEA">
                          <w:rPr>
                            <w:rFonts w:asciiTheme="minorHAnsi" w:hAnsiTheme="minorHAnsi" w:cstheme="minorHAnsi"/>
                            <w:color w:val="000000"/>
                            <w:sz w:val="18"/>
                            <w:szCs w:val="18"/>
                            <w:lang w:val="x-none"/>
                          </w:rPr>
                          <w:t>5,870</w:t>
                        </w:r>
                      </w:p>
                    </w:tc>
                  </w:tr>
                  <w:tr w:rsidR="000469A9" w:rsidRPr="00551D5A" w14:paraId="6DBA8F46" w14:textId="77777777" w:rsidTr="00997EF7">
                    <w:trPr>
                      <w:trHeight w:val="234"/>
                    </w:trPr>
                    <w:tc>
                      <w:tcPr>
                        <w:tcW w:w="4324" w:type="dxa"/>
                        <w:tcBorders>
                          <w:top w:val="nil"/>
                          <w:left w:val="nil"/>
                          <w:bottom w:val="nil"/>
                          <w:right w:val="nil"/>
                        </w:tcBorders>
                        <w:shd w:val="clear" w:color="000000" w:fill="FFFFFF"/>
                        <w:vAlign w:val="center"/>
                        <w:hideMark/>
                      </w:tcPr>
                      <w:p w14:paraId="5915F7A4" w14:textId="77777777" w:rsidR="000469A9" w:rsidRPr="00846EEE" w:rsidRDefault="000469A9" w:rsidP="00997EF7">
                        <w:pPr>
                          <w:spacing w:after="0" w:line="240" w:lineRule="auto"/>
                          <w:ind w:left="-170" w:firstLine="68"/>
                          <w:jc w:val="both"/>
                          <w:rPr>
                            <w:rFonts w:asciiTheme="minorHAnsi" w:hAnsiTheme="minorHAnsi" w:cstheme="minorHAnsi"/>
                            <w:sz w:val="18"/>
                            <w:szCs w:val="18"/>
                          </w:rPr>
                        </w:pPr>
                        <w:r w:rsidRPr="00846EEE">
                          <w:rPr>
                            <w:rFonts w:asciiTheme="minorHAnsi" w:hAnsiTheme="minorHAnsi" w:cstheme="minorHAnsi"/>
                            <w:sz w:val="18"/>
                            <w:szCs w:val="18"/>
                            <w:lang w:val="en-US"/>
                          </w:rPr>
                          <w:t>Heating and cooling</w:t>
                        </w:r>
                      </w:p>
                    </w:tc>
                    <w:tc>
                      <w:tcPr>
                        <w:tcW w:w="1643" w:type="dxa"/>
                        <w:tcBorders>
                          <w:top w:val="nil"/>
                          <w:left w:val="nil"/>
                          <w:bottom w:val="nil"/>
                          <w:right w:val="nil"/>
                        </w:tcBorders>
                        <w:shd w:val="clear" w:color="000000" w:fill="FFFFFF"/>
                        <w:vAlign w:val="center"/>
                        <w:hideMark/>
                      </w:tcPr>
                      <w:p w14:paraId="3ACA468A" w14:textId="505A074A" w:rsidR="000469A9" w:rsidRPr="00846EEE" w:rsidRDefault="000469A9" w:rsidP="000469A9">
                        <w:pPr>
                          <w:spacing w:after="0" w:line="240" w:lineRule="auto"/>
                          <w:jc w:val="right"/>
                          <w:rPr>
                            <w:rFonts w:asciiTheme="minorHAnsi" w:hAnsiTheme="minorHAnsi" w:cstheme="minorHAnsi"/>
                            <w:sz w:val="18"/>
                            <w:szCs w:val="18"/>
                          </w:rPr>
                        </w:pPr>
                        <w:r>
                          <w:rPr>
                            <w:rFonts w:cs="Calibri"/>
                            <w:color w:val="000000"/>
                            <w:sz w:val="18"/>
                            <w:szCs w:val="18"/>
                          </w:rPr>
                          <w:t>2,950</w:t>
                        </w:r>
                      </w:p>
                    </w:tc>
                    <w:tc>
                      <w:tcPr>
                        <w:tcW w:w="1643" w:type="dxa"/>
                        <w:tcBorders>
                          <w:top w:val="nil"/>
                          <w:left w:val="nil"/>
                          <w:bottom w:val="nil"/>
                          <w:right w:val="nil"/>
                        </w:tcBorders>
                        <w:shd w:val="clear" w:color="000000" w:fill="FFFFFF"/>
                        <w:vAlign w:val="center"/>
                        <w:hideMark/>
                      </w:tcPr>
                      <w:p w14:paraId="7D00EE8D" w14:textId="77777777" w:rsidR="000469A9" w:rsidRPr="00876AEA" w:rsidRDefault="000469A9" w:rsidP="000469A9">
                        <w:pPr>
                          <w:spacing w:after="0" w:line="240" w:lineRule="auto"/>
                          <w:jc w:val="right"/>
                          <w:rPr>
                            <w:rFonts w:asciiTheme="minorHAnsi" w:hAnsiTheme="minorHAnsi" w:cstheme="minorHAnsi"/>
                            <w:color w:val="000000"/>
                            <w:sz w:val="18"/>
                            <w:szCs w:val="18"/>
                          </w:rPr>
                        </w:pPr>
                        <w:r w:rsidRPr="00876AEA">
                          <w:rPr>
                            <w:rFonts w:asciiTheme="minorHAnsi" w:hAnsiTheme="minorHAnsi" w:cstheme="minorHAnsi"/>
                            <w:color w:val="000000"/>
                            <w:sz w:val="18"/>
                            <w:szCs w:val="18"/>
                          </w:rPr>
                          <w:t>2,706</w:t>
                        </w:r>
                      </w:p>
                    </w:tc>
                    <w:tc>
                      <w:tcPr>
                        <w:tcW w:w="1644" w:type="dxa"/>
                        <w:tcBorders>
                          <w:top w:val="nil"/>
                          <w:left w:val="nil"/>
                          <w:bottom w:val="nil"/>
                          <w:right w:val="nil"/>
                        </w:tcBorders>
                        <w:shd w:val="clear" w:color="000000" w:fill="FFFFFF"/>
                        <w:vAlign w:val="center"/>
                        <w:hideMark/>
                      </w:tcPr>
                      <w:p w14:paraId="27CC8FEF" w14:textId="77777777" w:rsidR="000469A9" w:rsidRPr="00876AEA" w:rsidRDefault="000469A9" w:rsidP="000469A9">
                        <w:pPr>
                          <w:spacing w:after="0" w:line="240" w:lineRule="auto"/>
                          <w:jc w:val="right"/>
                          <w:rPr>
                            <w:rFonts w:asciiTheme="minorHAnsi" w:hAnsiTheme="minorHAnsi" w:cstheme="minorHAnsi"/>
                            <w:color w:val="000000"/>
                            <w:sz w:val="18"/>
                            <w:szCs w:val="18"/>
                          </w:rPr>
                        </w:pPr>
                        <w:r w:rsidRPr="00876AEA">
                          <w:rPr>
                            <w:rFonts w:asciiTheme="minorHAnsi" w:hAnsiTheme="minorHAnsi" w:cstheme="minorHAnsi"/>
                            <w:color w:val="000000"/>
                            <w:sz w:val="18"/>
                            <w:szCs w:val="18"/>
                            <w:lang w:val="x-none"/>
                          </w:rPr>
                          <w:t>12,907</w:t>
                        </w:r>
                      </w:p>
                    </w:tc>
                  </w:tr>
                  <w:tr w:rsidR="000469A9" w:rsidRPr="00551D5A" w14:paraId="0C5B4CC3" w14:textId="77777777" w:rsidTr="00997EF7">
                    <w:trPr>
                      <w:trHeight w:val="246"/>
                    </w:trPr>
                    <w:tc>
                      <w:tcPr>
                        <w:tcW w:w="4324" w:type="dxa"/>
                        <w:tcBorders>
                          <w:top w:val="nil"/>
                          <w:left w:val="nil"/>
                          <w:bottom w:val="nil"/>
                          <w:right w:val="nil"/>
                        </w:tcBorders>
                        <w:shd w:val="clear" w:color="000000" w:fill="FFFFFF"/>
                        <w:vAlign w:val="center"/>
                        <w:hideMark/>
                      </w:tcPr>
                      <w:p w14:paraId="29176D43" w14:textId="77777777" w:rsidR="000469A9" w:rsidRPr="00846EEE" w:rsidRDefault="000469A9" w:rsidP="00997EF7">
                        <w:pPr>
                          <w:spacing w:after="0" w:line="240" w:lineRule="auto"/>
                          <w:ind w:left="-170" w:firstLine="68"/>
                          <w:jc w:val="both"/>
                          <w:rPr>
                            <w:rFonts w:asciiTheme="minorHAnsi" w:hAnsiTheme="minorHAnsi" w:cstheme="minorHAnsi"/>
                            <w:sz w:val="18"/>
                            <w:szCs w:val="18"/>
                          </w:rPr>
                        </w:pPr>
                        <w:r w:rsidRPr="00846EEE">
                          <w:rPr>
                            <w:rFonts w:asciiTheme="minorHAnsi" w:hAnsiTheme="minorHAnsi" w:cstheme="minorHAnsi"/>
                            <w:sz w:val="18"/>
                            <w:szCs w:val="18"/>
                            <w:lang w:val="en-US"/>
                          </w:rPr>
                          <w:t>Others</w:t>
                        </w:r>
                      </w:p>
                    </w:tc>
                    <w:tc>
                      <w:tcPr>
                        <w:tcW w:w="1643" w:type="dxa"/>
                        <w:tcBorders>
                          <w:top w:val="nil"/>
                          <w:left w:val="nil"/>
                          <w:bottom w:val="nil"/>
                          <w:right w:val="nil"/>
                        </w:tcBorders>
                        <w:shd w:val="clear" w:color="000000" w:fill="FFFFFF"/>
                        <w:vAlign w:val="center"/>
                        <w:hideMark/>
                      </w:tcPr>
                      <w:p w14:paraId="02C76E7F" w14:textId="28D67BB9" w:rsidR="000469A9" w:rsidRPr="00846EEE" w:rsidRDefault="000469A9" w:rsidP="000469A9">
                        <w:pPr>
                          <w:spacing w:after="0" w:line="240" w:lineRule="auto"/>
                          <w:jc w:val="right"/>
                          <w:rPr>
                            <w:rFonts w:asciiTheme="minorHAnsi" w:hAnsiTheme="minorHAnsi" w:cstheme="minorHAnsi"/>
                            <w:sz w:val="18"/>
                            <w:szCs w:val="18"/>
                          </w:rPr>
                        </w:pPr>
                        <w:r>
                          <w:rPr>
                            <w:rFonts w:cs="Calibri"/>
                            <w:color w:val="000000"/>
                            <w:sz w:val="18"/>
                            <w:szCs w:val="18"/>
                          </w:rPr>
                          <w:t>5,700</w:t>
                        </w:r>
                      </w:p>
                    </w:tc>
                    <w:tc>
                      <w:tcPr>
                        <w:tcW w:w="1643" w:type="dxa"/>
                        <w:tcBorders>
                          <w:top w:val="nil"/>
                          <w:left w:val="nil"/>
                          <w:bottom w:val="nil"/>
                          <w:right w:val="nil"/>
                        </w:tcBorders>
                        <w:shd w:val="clear" w:color="000000" w:fill="FFFFFF"/>
                        <w:vAlign w:val="center"/>
                        <w:hideMark/>
                      </w:tcPr>
                      <w:p w14:paraId="37E6B8BB" w14:textId="77777777" w:rsidR="000469A9" w:rsidRPr="00876AEA" w:rsidRDefault="000469A9" w:rsidP="000469A9">
                        <w:pPr>
                          <w:spacing w:after="0" w:line="240" w:lineRule="auto"/>
                          <w:jc w:val="right"/>
                          <w:rPr>
                            <w:rFonts w:asciiTheme="minorHAnsi" w:hAnsiTheme="minorHAnsi" w:cstheme="minorHAnsi"/>
                            <w:color w:val="000000"/>
                            <w:sz w:val="18"/>
                            <w:szCs w:val="18"/>
                          </w:rPr>
                        </w:pPr>
                        <w:r w:rsidRPr="00876AEA">
                          <w:rPr>
                            <w:rFonts w:asciiTheme="minorHAnsi" w:hAnsiTheme="minorHAnsi" w:cstheme="minorHAnsi"/>
                            <w:color w:val="000000"/>
                            <w:sz w:val="18"/>
                            <w:szCs w:val="18"/>
                          </w:rPr>
                          <w:t>5,121</w:t>
                        </w:r>
                      </w:p>
                    </w:tc>
                    <w:tc>
                      <w:tcPr>
                        <w:tcW w:w="1644" w:type="dxa"/>
                        <w:tcBorders>
                          <w:top w:val="nil"/>
                          <w:left w:val="nil"/>
                          <w:bottom w:val="nil"/>
                          <w:right w:val="nil"/>
                        </w:tcBorders>
                        <w:shd w:val="clear" w:color="000000" w:fill="FFFFFF"/>
                        <w:vAlign w:val="center"/>
                        <w:hideMark/>
                      </w:tcPr>
                      <w:p w14:paraId="2949B96D" w14:textId="77777777" w:rsidR="000469A9" w:rsidRPr="00876AEA" w:rsidRDefault="000469A9" w:rsidP="000469A9">
                        <w:pPr>
                          <w:spacing w:after="0" w:line="240" w:lineRule="auto"/>
                          <w:jc w:val="right"/>
                          <w:rPr>
                            <w:rFonts w:asciiTheme="minorHAnsi" w:hAnsiTheme="minorHAnsi" w:cstheme="minorHAnsi"/>
                            <w:color w:val="000000"/>
                            <w:sz w:val="18"/>
                            <w:szCs w:val="18"/>
                          </w:rPr>
                        </w:pPr>
                        <w:r w:rsidRPr="00876AEA">
                          <w:rPr>
                            <w:rFonts w:asciiTheme="minorHAnsi" w:hAnsiTheme="minorHAnsi" w:cstheme="minorHAnsi"/>
                            <w:color w:val="000000"/>
                            <w:sz w:val="18"/>
                            <w:szCs w:val="18"/>
                            <w:lang w:val="x-none"/>
                          </w:rPr>
                          <w:t>9,044</w:t>
                        </w:r>
                      </w:p>
                    </w:tc>
                  </w:tr>
                  <w:tr w:rsidR="000469A9" w:rsidRPr="00551D5A" w14:paraId="419F9A55" w14:textId="77777777" w:rsidTr="00997EF7">
                    <w:trPr>
                      <w:trHeight w:val="246"/>
                    </w:trPr>
                    <w:tc>
                      <w:tcPr>
                        <w:tcW w:w="4324" w:type="dxa"/>
                        <w:tcBorders>
                          <w:top w:val="single" w:sz="8" w:space="0" w:color="auto"/>
                          <w:left w:val="nil"/>
                          <w:bottom w:val="double" w:sz="6" w:space="0" w:color="auto"/>
                          <w:right w:val="nil"/>
                        </w:tcBorders>
                        <w:shd w:val="clear" w:color="000000" w:fill="FFFFFF"/>
                        <w:vAlign w:val="center"/>
                        <w:hideMark/>
                      </w:tcPr>
                      <w:p w14:paraId="259C973A" w14:textId="77777777" w:rsidR="000469A9" w:rsidRPr="00846EEE" w:rsidRDefault="000469A9" w:rsidP="00997EF7">
                        <w:pPr>
                          <w:spacing w:after="0" w:line="240" w:lineRule="auto"/>
                          <w:ind w:left="-170" w:firstLine="68"/>
                          <w:jc w:val="both"/>
                          <w:rPr>
                            <w:rFonts w:asciiTheme="minorHAnsi" w:hAnsiTheme="minorHAnsi" w:cstheme="minorHAnsi"/>
                            <w:b/>
                            <w:bCs/>
                            <w:sz w:val="18"/>
                            <w:szCs w:val="18"/>
                          </w:rPr>
                        </w:pPr>
                        <w:r w:rsidRPr="00846EEE">
                          <w:rPr>
                            <w:rFonts w:asciiTheme="minorHAnsi" w:hAnsiTheme="minorHAnsi" w:cstheme="minorHAnsi"/>
                            <w:b/>
                            <w:bCs/>
                            <w:sz w:val="18"/>
                            <w:szCs w:val="18"/>
                            <w:lang w:val="en-US"/>
                          </w:rPr>
                          <w:t>Total</w:t>
                        </w:r>
                      </w:p>
                    </w:tc>
                    <w:tc>
                      <w:tcPr>
                        <w:tcW w:w="1643" w:type="dxa"/>
                        <w:tcBorders>
                          <w:top w:val="single" w:sz="8" w:space="0" w:color="auto"/>
                          <w:left w:val="nil"/>
                          <w:bottom w:val="double" w:sz="6" w:space="0" w:color="auto"/>
                          <w:right w:val="nil"/>
                        </w:tcBorders>
                        <w:shd w:val="clear" w:color="000000" w:fill="FFFFFF"/>
                        <w:vAlign w:val="center"/>
                        <w:hideMark/>
                      </w:tcPr>
                      <w:p w14:paraId="0362635E" w14:textId="475539E1" w:rsidR="000469A9" w:rsidRPr="00B91782" w:rsidRDefault="000469A9" w:rsidP="000469A9">
                        <w:pPr>
                          <w:spacing w:after="0" w:line="240" w:lineRule="auto"/>
                          <w:jc w:val="right"/>
                          <w:rPr>
                            <w:rFonts w:asciiTheme="minorHAnsi" w:hAnsiTheme="minorHAnsi" w:cstheme="minorHAnsi"/>
                            <w:b/>
                            <w:bCs/>
                            <w:sz w:val="18"/>
                            <w:szCs w:val="18"/>
                          </w:rPr>
                        </w:pPr>
                        <w:r w:rsidRPr="00997EF7">
                          <w:rPr>
                            <w:rFonts w:cs="Calibri"/>
                            <w:b/>
                            <w:bCs/>
                            <w:color w:val="000000"/>
                            <w:sz w:val="18"/>
                            <w:szCs w:val="18"/>
                          </w:rPr>
                          <w:t>87,606</w:t>
                        </w:r>
                      </w:p>
                    </w:tc>
                    <w:tc>
                      <w:tcPr>
                        <w:tcW w:w="1643" w:type="dxa"/>
                        <w:tcBorders>
                          <w:top w:val="single" w:sz="8" w:space="0" w:color="auto"/>
                          <w:left w:val="nil"/>
                          <w:bottom w:val="double" w:sz="6" w:space="0" w:color="auto"/>
                          <w:right w:val="nil"/>
                        </w:tcBorders>
                        <w:shd w:val="clear" w:color="000000" w:fill="FFFFFF"/>
                        <w:vAlign w:val="center"/>
                        <w:hideMark/>
                      </w:tcPr>
                      <w:p w14:paraId="708AB1B6" w14:textId="77777777" w:rsidR="000469A9" w:rsidRPr="00876AEA" w:rsidRDefault="000469A9" w:rsidP="000469A9">
                        <w:pPr>
                          <w:spacing w:after="0" w:line="240" w:lineRule="auto"/>
                          <w:jc w:val="right"/>
                          <w:rPr>
                            <w:rFonts w:asciiTheme="minorHAnsi" w:hAnsiTheme="minorHAnsi" w:cstheme="minorHAnsi"/>
                            <w:color w:val="000000"/>
                            <w:sz w:val="18"/>
                            <w:szCs w:val="18"/>
                          </w:rPr>
                        </w:pPr>
                        <w:r w:rsidRPr="00876AEA">
                          <w:rPr>
                            <w:rFonts w:asciiTheme="minorHAnsi" w:hAnsiTheme="minorHAnsi" w:cstheme="minorHAnsi"/>
                            <w:color w:val="000000"/>
                            <w:sz w:val="18"/>
                            <w:szCs w:val="18"/>
                          </w:rPr>
                          <w:t>85,746</w:t>
                        </w:r>
                      </w:p>
                    </w:tc>
                    <w:tc>
                      <w:tcPr>
                        <w:tcW w:w="1644" w:type="dxa"/>
                        <w:tcBorders>
                          <w:top w:val="single" w:sz="8" w:space="0" w:color="auto"/>
                          <w:left w:val="nil"/>
                          <w:bottom w:val="double" w:sz="6" w:space="0" w:color="auto"/>
                          <w:right w:val="nil"/>
                        </w:tcBorders>
                        <w:shd w:val="clear" w:color="000000" w:fill="FFFFFF"/>
                        <w:vAlign w:val="center"/>
                        <w:hideMark/>
                      </w:tcPr>
                      <w:p w14:paraId="13D08589" w14:textId="77777777" w:rsidR="000469A9" w:rsidRPr="00876AEA" w:rsidRDefault="000469A9" w:rsidP="000469A9">
                        <w:pPr>
                          <w:spacing w:after="0" w:line="240" w:lineRule="auto"/>
                          <w:jc w:val="right"/>
                          <w:rPr>
                            <w:rFonts w:asciiTheme="minorHAnsi" w:hAnsiTheme="minorHAnsi" w:cstheme="minorHAnsi"/>
                            <w:color w:val="000000"/>
                            <w:sz w:val="18"/>
                            <w:szCs w:val="18"/>
                          </w:rPr>
                        </w:pPr>
                        <w:r w:rsidRPr="00876AEA">
                          <w:rPr>
                            <w:rFonts w:asciiTheme="minorHAnsi" w:hAnsiTheme="minorHAnsi" w:cstheme="minorHAnsi"/>
                            <w:color w:val="000000"/>
                            <w:sz w:val="18"/>
                            <w:szCs w:val="18"/>
                            <w:lang w:val="x-none"/>
                          </w:rPr>
                          <w:t>154,191</w:t>
                        </w:r>
                      </w:p>
                    </w:tc>
                  </w:tr>
                  <w:tr w:rsidR="00F31E20" w:rsidRPr="00551D5A" w14:paraId="45FA4020" w14:textId="77777777" w:rsidTr="00997EF7">
                    <w:trPr>
                      <w:trHeight w:val="246"/>
                    </w:trPr>
                    <w:tc>
                      <w:tcPr>
                        <w:tcW w:w="4324" w:type="dxa"/>
                        <w:tcBorders>
                          <w:top w:val="nil"/>
                          <w:left w:val="nil"/>
                          <w:bottom w:val="nil"/>
                          <w:right w:val="nil"/>
                        </w:tcBorders>
                        <w:shd w:val="clear" w:color="000000" w:fill="FFFFFF"/>
                        <w:noWrap/>
                        <w:vAlign w:val="center"/>
                        <w:hideMark/>
                      </w:tcPr>
                      <w:p w14:paraId="22F0863F" w14:textId="77777777" w:rsidR="007A34B1" w:rsidRPr="00846EEE" w:rsidRDefault="007A34B1" w:rsidP="00997EF7">
                        <w:pPr>
                          <w:spacing w:after="0" w:line="240" w:lineRule="auto"/>
                          <w:ind w:left="-170" w:firstLine="68"/>
                          <w:jc w:val="both"/>
                          <w:rPr>
                            <w:rFonts w:asciiTheme="minorHAnsi" w:hAnsiTheme="minorHAnsi" w:cstheme="minorHAnsi"/>
                            <w:b/>
                            <w:bCs/>
                            <w:color w:val="000000"/>
                            <w:sz w:val="18"/>
                            <w:szCs w:val="18"/>
                          </w:rPr>
                        </w:pPr>
                        <w:r w:rsidRPr="00846EEE">
                          <w:rPr>
                            <w:rFonts w:asciiTheme="minorHAnsi" w:hAnsiTheme="minorHAnsi" w:cstheme="minorHAnsi"/>
                            <w:b/>
                            <w:bCs/>
                            <w:color w:val="000000"/>
                            <w:sz w:val="18"/>
                            <w:szCs w:val="18"/>
                          </w:rPr>
                          <w:t> </w:t>
                        </w:r>
                      </w:p>
                    </w:tc>
                    <w:tc>
                      <w:tcPr>
                        <w:tcW w:w="1643" w:type="dxa"/>
                        <w:tcBorders>
                          <w:top w:val="nil"/>
                          <w:left w:val="nil"/>
                          <w:bottom w:val="nil"/>
                          <w:right w:val="nil"/>
                        </w:tcBorders>
                        <w:shd w:val="clear" w:color="000000" w:fill="FFFFFF"/>
                        <w:noWrap/>
                        <w:vAlign w:val="center"/>
                        <w:hideMark/>
                      </w:tcPr>
                      <w:p w14:paraId="005AF0CA" w14:textId="77777777" w:rsidR="007A34B1" w:rsidRPr="00846EEE" w:rsidRDefault="007A34B1" w:rsidP="007A34B1">
                        <w:pPr>
                          <w:spacing w:after="0" w:line="240" w:lineRule="auto"/>
                          <w:jc w:val="right"/>
                          <w:rPr>
                            <w:rFonts w:asciiTheme="minorHAnsi" w:hAnsiTheme="minorHAnsi" w:cstheme="minorHAnsi"/>
                            <w:b/>
                            <w:bCs/>
                            <w:color w:val="000000"/>
                            <w:sz w:val="18"/>
                            <w:szCs w:val="18"/>
                          </w:rPr>
                        </w:pPr>
                        <w:r w:rsidRPr="00846EEE">
                          <w:rPr>
                            <w:rFonts w:asciiTheme="minorHAnsi" w:hAnsiTheme="minorHAnsi" w:cstheme="minorHAnsi"/>
                            <w:b/>
                            <w:bCs/>
                            <w:color w:val="000000"/>
                            <w:sz w:val="18"/>
                            <w:szCs w:val="18"/>
                          </w:rPr>
                          <w:t> </w:t>
                        </w:r>
                      </w:p>
                    </w:tc>
                    <w:tc>
                      <w:tcPr>
                        <w:tcW w:w="1643" w:type="dxa"/>
                        <w:tcBorders>
                          <w:top w:val="nil"/>
                          <w:left w:val="nil"/>
                          <w:bottom w:val="nil"/>
                          <w:right w:val="nil"/>
                        </w:tcBorders>
                        <w:shd w:val="clear" w:color="000000" w:fill="FFFFFF"/>
                        <w:noWrap/>
                        <w:vAlign w:val="bottom"/>
                        <w:hideMark/>
                      </w:tcPr>
                      <w:p w14:paraId="3BD416F4" w14:textId="77777777" w:rsidR="007A34B1" w:rsidRPr="00876AEA" w:rsidRDefault="007A34B1" w:rsidP="007A34B1">
                        <w:pPr>
                          <w:spacing w:after="0" w:line="240" w:lineRule="auto"/>
                          <w:jc w:val="right"/>
                          <w:rPr>
                            <w:rFonts w:asciiTheme="minorHAnsi" w:hAnsiTheme="minorHAnsi" w:cstheme="minorHAnsi"/>
                            <w:color w:val="000000"/>
                            <w:sz w:val="18"/>
                            <w:szCs w:val="18"/>
                          </w:rPr>
                        </w:pPr>
                        <w:r w:rsidRPr="00876AEA">
                          <w:rPr>
                            <w:rFonts w:asciiTheme="minorHAnsi" w:hAnsiTheme="minorHAnsi" w:cstheme="minorHAnsi"/>
                            <w:color w:val="000000"/>
                            <w:sz w:val="18"/>
                            <w:szCs w:val="18"/>
                          </w:rPr>
                          <w:t> </w:t>
                        </w:r>
                      </w:p>
                    </w:tc>
                    <w:tc>
                      <w:tcPr>
                        <w:tcW w:w="1644" w:type="dxa"/>
                        <w:tcBorders>
                          <w:top w:val="nil"/>
                          <w:left w:val="nil"/>
                          <w:bottom w:val="nil"/>
                          <w:right w:val="nil"/>
                        </w:tcBorders>
                        <w:shd w:val="clear" w:color="000000" w:fill="FFFFFF"/>
                        <w:noWrap/>
                        <w:vAlign w:val="bottom"/>
                        <w:hideMark/>
                      </w:tcPr>
                      <w:p w14:paraId="52815081" w14:textId="77777777" w:rsidR="007A34B1" w:rsidRPr="00876AEA" w:rsidRDefault="007A34B1" w:rsidP="00F31E20">
                        <w:pPr>
                          <w:spacing w:after="0" w:line="240" w:lineRule="auto"/>
                          <w:jc w:val="right"/>
                          <w:rPr>
                            <w:rFonts w:asciiTheme="minorHAnsi" w:hAnsiTheme="minorHAnsi" w:cstheme="minorHAnsi"/>
                            <w:color w:val="000000"/>
                            <w:sz w:val="18"/>
                            <w:szCs w:val="18"/>
                          </w:rPr>
                        </w:pPr>
                        <w:r w:rsidRPr="00876AEA">
                          <w:rPr>
                            <w:rFonts w:asciiTheme="minorHAnsi" w:hAnsiTheme="minorHAnsi" w:cstheme="minorHAnsi"/>
                            <w:color w:val="000000"/>
                            <w:sz w:val="18"/>
                            <w:szCs w:val="18"/>
                          </w:rPr>
                          <w:t> </w:t>
                        </w:r>
                      </w:p>
                    </w:tc>
                  </w:tr>
                  <w:tr w:rsidR="00876AEA" w:rsidRPr="00551D5A" w14:paraId="1E033FDF" w14:textId="77777777" w:rsidTr="00997EF7">
                    <w:trPr>
                      <w:trHeight w:val="377"/>
                    </w:trPr>
                    <w:tc>
                      <w:tcPr>
                        <w:tcW w:w="4324" w:type="dxa"/>
                        <w:tcBorders>
                          <w:top w:val="nil"/>
                          <w:left w:val="nil"/>
                          <w:bottom w:val="nil"/>
                          <w:right w:val="nil"/>
                        </w:tcBorders>
                        <w:shd w:val="clear" w:color="000000" w:fill="FFFFFF"/>
                        <w:vAlign w:val="center"/>
                        <w:hideMark/>
                      </w:tcPr>
                      <w:p w14:paraId="2C7AEE9B" w14:textId="77777777" w:rsidR="00876AEA" w:rsidRPr="00846EEE" w:rsidRDefault="00876AEA" w:rsidP="00997EF7">
                        <w:pPr>
                          <w:spacing w:after="0" w:line="240" w:lineRule="auto"/>
                          <w:ind w:left="-170" w:firstLine="68"/>
                          <w:jc w:val="both"/>
                          <w:rPr>
                            <w:rFonts w:asciiTheme="minorHAnsi" w:hAnsiTheme="minorHAnsi" w:cstheme="minorHAnsi"/>
                            <w:b/>
                            <w:bCs/>
                            <w:color w:val="000000"/>
                            <w:sz w:val="18"/>
                            <w:szCs w:val="18"/>
                          </w:rPr>
                        </w:pPr>
                        <w:r w:rsidRPr="00846EEE">
                          <w:rPr>
                            <w:rFonts w:asciiTheme="minorHAnsi" w:hAnsiTheme="minorHAnsi" w:cstheme="minorHAnsi"/>
                            <w:b/>
                            <w:bCs/>
                            <w:color w:val="000000"/>
                            <w:sz w:val="18"/>
                            <w:szCs w:val="18"/>
                          </w:rPr>
                          <w:t> </w:t>
                        </w:r>
                      </w:p>
                    </w:tc>
                    <w:tc>
                      <w:tcPr>
                        <w:tcW w:w="1643" w:type="dxa"/>
                        <w:tcBorders>
                          <w:top w:val="nil"/>
                          <w:left w:val="nil"/>
                          <w:bottom w:val="nil"/>
                          <w:right w:val="nil"/>
                        </w:tcBorders>
                        <w:shd w:val="clear" w:color="000000" w:fill="FFFFFF"/>
                        <w:vAlign w:val="center"/>
                        <w:hideMark/>
                      </w:tcPr>
                      <w:p w14:paraId="03208821" w14:textId="6820BB7C" w:rsidR="00876AEA" w:rsidRPr="00846EEE" w:rsidRDefault="00876AEA" w:rsidP="00876AEA">
                        <w:pPr>
                          <w:spacing w:after="0" w:line="240" w:lineRule="auto"/>
                          <w:jc w:val="right"/>
                          <w:rPr>
                            <w:rFonts w:asciiTheme="minorHAnsi" w:hAnsiTheme="minorHAnsi" w:cstheme="minorHAnsi"/>
                            <w:b/>
                            <w:bCs/>
                            <w:sz w:val="18"/>
                            <w:szCs w:val="18"/>
                          </w:rPr>
                        </w:pPr>
                        <w:r>
                          <w:rPr>
                            <w:rFonts w:asciiTheme="minorHAnsi" w:hAnsiTheme="minorHAnsi" w:cstheme="minorHAnsi"/>
                            <w:b/>
                            <w:bCs/>
                            <w:sz w:val="18"/>
                            <w:szCs w:val="18"/>
                          </w:rPr>
                          <w:t xml:space="preserve">6 </w:t>
                        </w:r>
                        <w:r w:rsidRPr="00846EEE">
                          <w:rPr>
                            <w:rFonts w:asciiTheme="minorHAnsi" w:hAnsiTheme="minorHAnsi" w:cstheme="minorHAnsi"/>
                            <w:b/>
                            <w:bCs/>
                            <w:sz w:val="18"/>
                            <w:szCs w:val="18"/>
                          </w:rPr>
                          <w:t xml:space="preserve">months ended </w:t>
                        </w:r>
                        <w:r>
                          <w:rPr>
                            <w:rFonts w:asciiTheme="minorHAnsi" w:hAnsiTheme="minorHAnsi" w:cstheme="minorHAnsi"/>
                            <w:b/>
                            <w:bCs/>
                            <w:sz w:val="18"/>
                            <w:szCs w:val="18"/>
                          </w:rPr>
                          <w:t>31 January 2023</w:t>
                        </w:r>
                      </w:p>
                    </w:tc>
                    <w:tc>
                      <w:tcPr>
                        <w:tcW w:w="1643" w:type="dxa"/>
                        <w:tcBorders>
                          <w:top w:val="nil"/>
                          <w:left w:val="nil"/>
                          <w:bottom w:val="nil"/>
                          <w:right w:val="nil"/>
                        </w:tcBorders>
                        <w:shd w:val="clear" w:color="000000" w:fill="FFFFFF"/>
                        <w:vAlign w:val="center"/>
                        <w:hideMark/>
                      </w:tcPr>
                      <w:p w14:paraId="5E076901" w14:textId="77777777" w:rsidR="00876AEA" w:rsidRPr="00997EF7" w:rsidRDefault="00876AEA" w:rsidP="00876AEA">
                        <w:pPr>
                          <w:spacing w:after="0" w:line="240" w:lineRule="auto"/>
                          <w:jc w:val="right"/>
                          <w:rPr>
                            <w:rFonts w:asciiTheme="minorHAnsi" w:hAnsiTheme="minorHAnsi" w:cstheme="minorHAnsi"/>
                            <w:sz w:val="18"/>
                            <w:szCs w:val="18"/>
                          </w:rPr>
                        </w:pPr>
                        <w:r w:rsidRPr="00997EF7">
                          <w:rPr>
                            <w:rFonts w:asciiTheme="minorHAnsi" w:hAnsiTheme="minorHAnsi" w:cstheme="minorHAnsi"/>
                            <w:sz w:val="18"/>
                            <w:szCs w:val="18"/>
                          </w:rPr>
                          <w:t xml:space="preserve">6 months </w:t>
                        </w:r>
                        <w:proofErr w:type="gramStart"/>
                        <w:r w:rsidRPr="00997EF7">
                          <w:rPr>
                            <w:rFonts w:asciiTheme="minorHAnsi" w:hAnsiTheme="minorHAnsi" w:cstheme="minorHAnsi"/>
                            <w:sz w:val="18"/>
                            <w:szCs w:val="18"/>
                          </w:rPr>
                          <w:t>ended</w:t>
                        </w:r>
                        <w:proofErr w:type="gramEnd"/>
                        <w:r w:rsidRPr="00997EF7">
                          <w:rPr>
                            <w:rFonts w:asciiTheme="minorHAnsi" w:hAnsiTheme="minorHAnsi" w:cstheme="minorHAnsi"/>
                            <w:sz w:val="18"/>
                            <w:szCs w:val="18"/>
                          </w:rPr>
                          <w:t xml:space="preserve"> </w:t>
                        </w:r>
                      </w:p>
                      <w:p w14:paraId="121308F9" w14:textId="1594E6C1" w:rsidR="00876AEA" w:rsidRPr="00997EF7" w:rsidRDefault="00876AEA" w:rsidP="00876AEA">
                        <w:pPr>
                          <w:spacing w:after="0" w:line="240" w:lineRule="auto"/>
                          <w:jc w:val="right"/>
                          <w:rPr>
                            <w:rFonts w:asciiTheme="minorHAnsi" w:hAnsiTheme="minorHAnsi" w:cstheme="minorHAnsi"/>
                            <w:sz w:val="18"/>
                            <w:szCs w:val="18"/>
                          </w:rPr>
                        </w:pPr>
                        <w:r w:rsidRPr="00997EF7">
                          <w:rPr>
                            <w:rFonts w:asciiTheme="minorHAnsi" w:hAnsiTheme="minorHAnsi" w:cstheme="minorHAnsi"/>
                            <w:sz w:val="18"/>
                            <w:szCs w:val="18"/>
                          </w:rPr>
                          <w:t>31 January 2022</w:t>
                        </w:r>
                      </w:p>
                    </w:tc>
                    <w:tc>
                      <w:tcPr>
                        <w:tcW w:w="1644" w:type="dxa"/>
                        <w:tcBorders>
                          <w:top w:val="nil"/>
                          <w:left w:val="nil"/>
                          <w:bottom w:val="nil"/>
                          <w:right w:val="nil"/>
                        </w:tcBorders>
                        <w:shd w:val="clear" w:color="000000" w:fill="FFFFFF"/>
                        <w:vAlign w:val="center"/>
                        <w:hideMark/>
                      </w:tcPr>
                      <w:p w14:paraId="16615A13" w14:textId="77777777" w:rsidR="00876AEA" w:rsidRPr="00997EF7" w:rsidRDefault="00876AEA" w:rsidP="00876AEA">
                        <w:pPr>
                          <w:spacing w:after="0" w:line="240" w:lineRule="auto"/>
                          <w:jc w:val="right"/>
                          <w:rPr>
                            <w:rFonts w:asciiTheme="minorHAnsi" w:hAnsiTheme="minorHAnsi" w:cstheme="minorHAnsi"/>
                            <w:sz w:val="18"/>
                            <w:szCs w:val="18"/>
                            <w:lang w:val="en-US"/>
                          </w:rPr>
                        </w:pPr>
                        <w:r w:rsidRPr="00997EF7">
                          <w:rPr>
                            <w:rFonts w:asciiTheme="minorHAnsi" w:hAnsiTheme="minorHAnsi" w:cstheme="minorHAnsi"/>
                            <w:sz w:val="18"/>
                            <w:szCs w:val="18"/>
                            <w:lang w:val="en-US"/>
                          </w:rPr>
                          <w:t xml:space="preserve">Year </w:t>
                        </w:r>
                        <w:proofErr w:type="gramStart"/>
                        <w:r w:rsidRPr="00997EF7">
                          <w:rPr>
                            <w:rFonts w:asciiTheme="minorHAnsi" w:hAnsiTheme="minorHAnsi" w:cstheme="minorHAnsi"/>
                            <w:sz w:val="18"/>
                            <w:szCs w:val="18"/>
                            <w:lang w:val="en-US"/>
                          </w:rPr>
                          <w:t>ended</w:t>
                        </w:r>
                        <w:proofErr w:type="gramEnd"/>
                        <w:r w:rsidRPr="00997EF7">
                          <w:rPr>
                            <w:rFonts w:asciiTheme="minorHAnsi" w:hAnsiTheme="minorHAnsi" w:cstheme="minorHAnsi"/>
                            <w:sz w:val="18"/>
                            <w:szCs w:val="18"/>
                            <w:lang w:val="en-US"/>
                          </w:rPr>
                          <w:t xml:space="preserve"> </w:t>
                        </w:r>
                      </w:p>
                      <w:p w14:paraId="7F4BE7A9" w14:textId="0C653370" w:rsidR="00876AEA" w:rsidRPr="00997EF7" w:rsidRDefault="00876AEA" w:rsidP="00876AEA">
                        <w:pPr>
                          <w:spacing w:after="0" w:line="240" w:lineRule="auto"/>
                          <w:jc w:val="right"/>
                          <w:rPr>
                            <w:rFonts w:asciiTheme="minorHAnsi" w:hAnsiTheme="minorHAnsi" w:cstheme="minorHAnsi"/>
                            <w:sz w:val="18"/>
                            <w:szCs w:val="18"/>
                          </w:rPr>
                        </w:pPr>
                        <w:r w:rsidRPr="00997EF7">
                          <w:rPr>
                            <w:rFonts w:asciiTheme="minorHAnsi" w:hAnsiTheme="minorHAnsi" w:cstheme="minorHAnsi"/>
                            <w:sz w:val="18"/>
                            <w:szCs w:val="18"/>
                            <w:lang w:val="en-US"/>
                          </w:rPr>
                          <w:t>31 July 2022</w:t>
                        </w:r>
                      </w:p>
                    </w:tc>
                  </w:tr>
                  <w:tr w:rsidR="00BC25D7" w:rsidRPr="00551D5A" w14:paraId="18AA89FE" w14:textId="77777777" w:rsidTr="00997EF7">
                    <w:trPr>
                      <w:trHeight w:val="246"/>
                    </w:trPr>
                    <w:tc>
                      <w:tcPr>
                        <w:tcW w:w="4324" w:type="dxa"/>
                        <w:tcBorders>
                          <w:top w:val="nil"/>
                          <w:left w:val="nil"/>
                          <w:bottom w:val="single" w:sz="8" w:space="0" w:color="auto"/>
                          <w:right w:val="nil"/>
                        </w:tcBorders>
                        <w:shd w:val="clear" w:color="000000" w:fill="FFFFFF"/>
                        <w:vAlign w:val="center"/>
                        <w:hideMark/>
                      </w:tcPr>
                      <w:p w14:paraId="7DB6230D" w14:textId="77777777" w:rsidR="00BC25D7" w:rsidRPr="00846EEE" w:rsidRDefault="00BC25D7" w:rsidP="00997EF7">
                        <w:pPr>
                          <w:spacing w:after="0" w:line="240" w:lineRule="auto"/>
                          <w:ind w:left="-170" w:firstLine="68"/>
                          <w:jc w:val="both"/>
                          <w:rPr>
                            <w:rFonts w:asciiTheme="minorHAnsi" w:hAnsiTheme="minorHAnsi" w:cstheme="minorHAnsi"/>
                            <w:b/>
                            <w:bCs/>
                            <w:sz w:val="18"/>
                            <w:szCs w:val="18"/>
                          </w:rPr>
                        </w:pPr>
                        <w:r w:rsidRPr="00846EEE">
                          <w:rPr>
                            <w:rFonts w:asciiTheme="minorHAnsi" w:hAnsiTheme="minorHAnsi" w:cstheme="minorHAnsi"/>
                            <w:b/>
                            <w:bCs/>
                            <w:sz w:val="18"/>
                            <w:szCs w:val="18"/>
                            <w:lang w:val="en-US"/>
                          </w:rPr>
                          <w:t>Analysis of revenue by sales channel:</w:t>
                        </w:r>
                      </w:p>
                    </w:tc>
                    <w:tc>
                      <w:tcPr>
                        <w:tcW w:w="1643" w:type="dxa"/>
                        <w:tcBorders>
                          <w:top w:val="nil"/>
                          <w:left w:val="nil"/>
                          <w:bottom w:val="single" w:sz="8" w:space="0" w:color="auto"/>
                          <w:right w:val="nil"/>
                        </w:tcBorders>
                        <w:shd w:val="clear" w:color="000000" w:fill="FFFFFF"/>
                        <w:vAlign w:val="center"/>
                        <w:hideMark/>
                      </w:tcPr>
                      <w:p w14:paraId="4F6BB025" w14:textId="53A61DFA" w:rsidR="00BC25D7" w:rsidRPr="00846EEE" w:rsidRDefault="00BC25D7" w:rsidP="00BC25D7">
                        <w:pPr>
                          <w:spacing w:after="0" w:line="240" w:lineRule="auto"/>
                          <w:jc w:val="right"/>
                          <w:rPr>
                            <w:rFonts w:asciiTheme="minorHAnsi" w:hAnsiTheme="minorHAnsi" w:cstheme="minorHAnsi"/>
                            <w:sz w:val="18"/>
                            <w:szCs w:val="18"/>
                          </w:rPr>
                        </w:pPr>
                        <w:r w:rsidRPr="00846EEE">
                          <w:rPr>
                            <w:rFonts w:asciiTheme="minorHAnsi" w:hAnsiTheme="minorHAnsi" w:cstheme="minorHAnsi"/>
                            <w:b/>
                            <w:bCs/>
                            <w:sz w:val="18"/>
                            <w:szCs w:val="18"/>
                            <w:lang w:val="en-US"/>
                          </w:rPr>
                          <w:t>£’000</w:t>
                        </w:r>
                      </w:p>
                    </w:tc>
                    <w:tc>
                      <w:tcPr>
                        <w:tcW w:w="1643" w:type="dxa"/>
                        <w:tcBorders>
                          <w:top w:val="nil"/>
                          <w:left w:val="nil"/>
                          <w:bottom w:val="single" w:sz="8" w:space="0" w:color="auto"/>
                          <w:right w:val="nil"/>
                        </w:tcBorders>
                        <w:shd w:val="clear" w:color="000000" w:fill="FFFFFF"/>
                        <w:vAlign w:val="center"/>
                        <w:hideMark/>
                      </w:tcPr>
                      <w:p w14:paraId="7151502F" w14:textId="68C3F2D2" w:rsidR="00BC25D7" w:rsidRPr="00876AEA" w:rsidRDefault="00BC25D7" w:rsidP="00BC25D7">
                        <w:pPr>
                          <w:spacing w:after="0" w:line="240" w:lineRule="auto"/>
                          <w:jc w:val="right"/>
                          <w:rPr>
                            <w:rFonts w:asciiTheme="minorHAnsi" w:hAnsiTheme="minorHAnsi" w:cstheme="minorHAnsi"/>
                            <w:sz w:val="18"/>
                            <w:szCs w:val="18"/>
                          </w:rPr>
                        </w:pPr>
                        <w:r w:rsidRPr="00997EF7">
                          <w:rPr>
                            <w:rFonts w:asciiTheme="minorHAnsi" w:hAnsiTheme="minorHAnsi" w:cstheme="minorHAnsi"/>
                            <w:sz w:val="18"/>
                            <w:szCs w:val="18"/>
                            <w:lang w:val="en-US"/>
                          </w:rPr>
                          <w:t>£’000</w:t>
                        </w:r>
                      </w:p>
                    </w:tc>
                    <w:tc>
                      <w:tcPr>
                        <w:tcW w:w="1644" w:type="dxa"/>
                        <w:tcBorders>
                          <w:top w:val="nil"/>
                          <w:left w:val="nil"/>
                          <w:bottom w:val="single" w:sz="8" w:space="0" w:color="auto"/>
                          <w:right w:val="nil"/>
                        </w:tcBorders>
                        <w:shd w:val="clear" w:color="000000" w:fill="FFFFFF"/>
                        <w:vAlign w:val="center"/>
                        <w:hideMark/>
                      </w:tcPr>
                      <w:p w14:paraId="577E059F" w14:textId="0D720F42" w:rsidR="00BC25D7" w:rsidRPr="00876AEA" w:rsidRDefault="00BC25D7" w:rsidP="00BC25D7">
                        <w:pPr>
                          <w:spacing w:after="0" w:line="240" w:lineRule="auto"/>
                          <w:jc w:val="right"/>
                          <w:rPr>
                            <w:rFonts w:asciiTheme="minorHAnsi" w:hAnsiTheme="minorHAnsi" w:cstheme="minorHAnsi"/>
                            <w:sz w:val="18"/>
                            <w:szCs w:val="18"/>
                          </w:rPr>
                        </w:pPr>
                        <w:r w:rsidRPr="00997EF7">
                          <w:rPr>
                            <w:rFonts w:asciiTheme="minorHAnsi" w:hAnsiTheme="minorHAnsi" w:cstheme="minorHAnsi"/>
                            <w:sz w:val="18"/>
                            <w:szCs w:val="18"/>
                            <w:lang w:val="en-US"/>
                          </w:rPr>
                          <w:t>£’000</w:t>
                        </w:r>
                      </w:p>
                    </w:tc>
                  </w:tr>
                  <w:tr w:rsidR="000469A9" w:rsidRPr="00551D5A" w14:paraId="0B8FFB5C" w14:textId="77777777" w:rsidTr="00997EF7">
                    <w:trPr>
                      <w:trHeight w:val="234"/>
                    </w:trPr>
                    <w:tc>
                      <w:tcPr>
                        <w:tcW w:w="4324" w:type="dxa"/>
                        <w:tcBorders>
                          <w:top w:val="nil"/>
                          <w:left w:val="nil"/>
                          <w:bottom w:val="nil"/>
                          <w:right w:val="nil"/>
                        </w:tcBorders>
                        <w:shd w:val="clear" w:color="000000" w:fill="FFFFFF"/>
                        <w:vAlign w:val="center"/>
                        <w:hideMark/>
                      </w:tcPr>
                      <w:p w14:paraId="617C97F5" w14:textId="77777777" w:rsidR="000469A9" w:rsidRPr="00846EEE" w:rsidRDefault="000469A9" w:rsidP="00997EF7">
                        <w:pPr>
                          <w:spacing w:after="0" w:line="240" w:lineRule="auto"/>
                          <w:ind w:left="-170" w:firstLine="68"/>
                          <w:jc w:val="both"/>
                          <w:rPr>
                            <w:rFonts w:asciiTheme="minorHAnsi" w:hAnsiTheme="minorHAnsi" w:cstheme="minorHAnsi"/>
                            <w:color w:val="000000"/>
                            <w:sz w:val="18"/>
                            <w:szCs w:val="18"/>
                          </w:rPr>
                        </w:pPr>
                        <w:r w:rsidRPr="00846EEE">
                          <w:rPr>
                            <w:rFonts w:asciiTheme="minorHAnsi" w:hAnsiTheme="minorHAnsi" w:cstheme="minorHAnsi"/>
                            <w:color w:val="000000"/>
                            <w:sz w:val="18"/>
                            <w:szCs w:val="18"/>
                            <w:lang w:val="en-US"/>
                          </w:rPr>
                          <w:t>Supermarkets</w:t>
                        </w:r>
                      </w:p>
                    </w:tc>
                    <w:tc>
                      <w:tcPr>
                        <w:tcW w:w="1643" w:type="dxa"/>
                        <w:tcBorders>
                          <w:top w:val="nil"/>
                          <w:left w:val="nil"/>
                          <w:bottom w:val="nil"/>
                          <w:right w:val="nil"/>
                        </w:tcBorders>
                        <w:shd w:val="clear" w:color="000000" w:fill="FFFFFF"/>
                        <w:vAlign w:val="center"/>
                        <w:hideMark/>
                      </w:tcPr>
                      <w:p w14:paraId="03DE852C" w14:textId="2B9A4621" w:rsidR="000469A9" w:rsidRPr="00846EEE" w:rsidRDefault="000469A9" w:rsidP="000469A9">
                        <w:pPr>
                          <w:spacing w:after="0" w:line="240" w:lineRule="auto"/>
                          <w:jc w:val="right"/>
                          <w:rPr>
                            <w:rFonts w:asciiTheme="minorHAnsi" w:hAnsiTheme="minorHAnsi" w:cstheme="minorHAnsi"/>
                            <w:color w:val="000000"/>
                            <w:sz w:val="18"/>
                            <w:szCs w:val="18"/>
                          </w:rPr>
                        </w:pPr>
                        <w:r>
                          <w:rPr>
                            <w:rFonts w:cs="Calibri"/>
                            <w:color w:val="000000"/>
                            <w:sz w:val="18"/>
                            <w:szCs w:val="18"/>
                          </w:rPr>
                          <w:t>28,097</w:t>
                        </w:r>
                      </w:p>
                    </w:tc>
                    <w:tc>
                      <w:tcPr>
                        <w:tcW w:w="1643" w:type="dxa"/>
                        <w:tcBorders>
                          <w:top w:val="nil"/>
                          <w:left w:val="nil"/>
                          <w:bottom w:val="nil"/>
                          <w:right w:val="nil"/>
                        </w:tcBorders>
                        <w:shd w:val="clear" w:color="000000" w:fill="FFFFFF"/>
                        <w:vAlign w:val="center"/>
                        <w:hideMark/>
                      </w:tcPr>
                      <w:p w14:paraId="0AA7A36F" w14:textId="77777777" w:rsidR="000469A9" w:rsidRPr="00846EEE" w:rsidRDefault="000469A9" w:rsidP="000469A9">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31,835</w:t>
                        </w:r>
                      </w:p>
                    </w:tc>
                    <w:tc>
                      <w:tcPr>
                        <w:tcW w:w="1644" w:type="dxa"/>
                        <w:tcBorders>
                          <w:top w:val="nil"/>
                          <w:left w:val="nil"/>
                          <w:bottom w:val="nil"/>
                          <w:right w:val="nil"/>
                        </w:tcBorders>
                        <w:shd w:val="clear" w:color="000000" w:fill="FFFFFF"/>
                        <w:vAlign w:val="center"/>
                        <w:hideMark/>
                      </w:tcPr>
                      <w:p w14:paraId="5C358083" w14:textId="77777777" w:rsidR="000469A9" w:rsidRPr="00846EEE" w:rsidRDefault="000469A9" w:rsidP="000469A9">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lang w:val="x-none"/>
                          </w:rPr>
                          <w:t>51,523</w:t>
                        </w:r>
                      </w:p>
                    </w:tc>
                  </w:tr>
                  <w:tr w:rsidR="009B14D9" w:rsidRPr="00551D5A" w14:paraId="40CB9C7E" w14:textId="77777777" w:rsidTr="00997EF7">
                    <w:trPr>
                      <w:trHeight w:val="234"/>
                    </w:trPr>
                    <w:tc>
                      <w:tcPr>
                        <w:tcW w:w="4324" w:type="dxa"/>
                        <w:tcBorders>
                          <w:top w:val="nil"/>
                          <w:left w:val="nil"/>
                          <w:bottom w:val="nil"/>
                          <w:right w:val="nil"/>
                        </w:tcBorders>
                        <w:shd w:val="clear" w:color="000000" w:fill="FFFFFF"/>
                        <w:vAlign w:val="center"/>
                      </w:tcPr>
                      <w:p w14:paraId="5966DC39" w14:textId="160BB6C5" w:rsidR="009B14D9" w:rsidRPr="00846EEE" w:rsidRDefault="009B14D9" w:rsidP="009B14D9">
                        <w:pPr>
                          <w:spacing w:after="0" w:line="240" w:lineRule="auto"/>
                          <w:ind w:left="-170" w:firstLine="68"/>
                          <w:jc w:val="both"/>
                          <w:rPr>
                            <w:rFonts w:asciiTheme="minorHAnsi" w:hAnsiTheme="minorHAnsi" w:cstheme="minorHAnsi"/>
                            <w:color w:val="000000"/>
                            <w:sz w:val="18"/>
                            <w:szCs w:val="18"/>
                            <w:lang w:val="en-US"/>
                          </w:rPr>
                        </w:pPr>
                        <w:r w:rsidRPr="00846EEE">
                          <w:rPr>
                            <w:rFonts w:asciiTheme="minorHAnsi" w:hAnsiTheme="minorHAnsi" w:cstheme="minorHAnsi"/>
                            <w:color w:val="000000"/>
                            <w:sz w:val="18"/>
                            <w:szCs w:val="18"/>
                            <w:lang w:val="en-US"/>
                          </w:rPr>
                          <w:t>Online channels</w:t>
                        </w:r>
                      </w:p>
                    </w:tc>
                    <w:tc>
                      <w:tcPr>
                        <w:tcW w:w="1643" w:type="dxa"/>
                        <w:tcBorders>
                          <w:top w:val="nil"/>
                          <w:left w:val="nil"/>
                          <w:bottom w:val="nil"/>
                          <w:right w:val="nil"/>
                        </w:tcBorders>
                        <w:shd w:val="clear" w:color="000000" w:fill="FFFFFF"/>
                        <w:vAlign w:val="center"/>
                      </w:tcPr>
                      <w:p w14:paraId="5A1B49F3" w14:textId="5A6F6773" w:rsidR="009B14D9" w:rsidRDefault="009B14D9" w:rsidP="009B14D9">
                        <w:pPr>
                          <w:spacing w:after="0" w:line="240" w:lineRule="auto"/>
                          <w:jc w:val="right"/>
                          <w:rPr>
                            <w:rFonts w:cs="Calibri"/>
                            <w:color w:val="000000"/>
                            <w:sz w:val="18"/>
                            <w:szCs w:val="18"/>
                          </w:rPr>
                        </w:pPr>
                        <w:r>
                          <w:rPr>
                            <w:rFonts w:cs="Calibri"/>
                            <w:color w:val="000000"/>
                            <w:sz w:val="18"/>
                            <w:szCs w:val="18"/>
                          </w:rPr>
                          <w:t>22,904</w:t>
                        </w:r>
                      </w:p>
                    </w:tc>
                    <w:tc>
                      <w:tcPr>
                        <w:tcW w:w="1643" w:type="dxa"/>
                        <w:tcBorders>
                          <w:top w:val="nil"/>
                          <w:left w:val="nil"/>
                          <w:bottom w:val="nil"/>
                          <w:right w:val="nil"/>
                        </w:tcBorders>
                        <w:shd w:val="clear" w:color="000000" w:fill="FFFFFF"/>
                        <w:vAlign w:val="center"/>
                      </w:tcPr>
                      <w:p w14:paraId="63F0E7E9" w14:textId="7EE09658" w:rsidR="009B14D9" w:rsidRPr="00846EEE" w:rsidRDefault="009B14D9" w:rsidP="009B14D9">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12,835</w:t>
                        </w:r>
                      </w:p>
                    </w:tc>
                    <w:tc>
                      <w:tcPr>
                        <w:tcW w:w="1644" w:type="dxa"/>
                        <w:tcBorders>
                          <w:top w:val="nil"/>
                          <w:left w:val="nil"/>
                          <w:bottom w:val="nil"/>
                          <w:right w:val="nil"/>
                        </w:tcBorders>
                        <w:shd w:val="clear" w:color="000000" w:fill="FFFFFF"/>
                        <w:vAlign w:val="center"/>
                      </w:tcPr>
                      <w:p w14:paraId="2BFDC06B" w14:textId="08F49992" w:rsidR="009B14D9" w:rsidRPr="00846EEE" w:rsidRDefault="009B14D9" w:rsidP="009B14D9">
                        <w:pPr>
                          <w:spacing w:after="0" w:line="240" w:lineRule="auto"/>
                          <w:jc w:val="right"/>
                          <w:rPr>
                            <w:rFonts w:asciiTheme="minorHAnsi" w:hAnsiTheme="minorHAnsi" w:cstheme="minorHAnsi"/>
                            <w:color w:val="000000"/>
                            <w:sz w:val="18"/>
                            <w:szCs w:val="18"/>
                            <w:lang w:val="x-none"/>
                          </w:rPr>
                        </w:pPr>
                        <w:r w:rsidRPr="00846EEE">
                          <w:rPr>
                            <w:rFonts w:asciiTheme="minorHAnsi" w:hAnsiTheme="minorHAnsi" w:cstheme="minorHAnsi"/>
                            <w:color w:val="000000"/>
                            <w:sz w:val="18"/>
                            <w:szCs w:val="18"/>
                            <w:lang w:val="x-none"/>
                          </w:rPr>
                          <w:t>25,321</w:t>
                        </w:r>
                      </w:p>
                    </w:tc>
                  </w:tr>
                  <w:tr w:rsidR="009B14D9" w:rsidRPr="00551D5A" w14:paraId="58AA3F15" w14:textId="77777777" w:rsidTr="00997EF7">
                    <w:trPr>
                      <w:trHeight w:val="234"/>
                    </w:trPr>
                    <w:tc>
                      <w:tcPr>
                        <w:tcW w:w="4324" w:type="dxa"/>
                        <w:tcBorders>
                          <w:top w:val="nil"/>
                          <w:left w:val="nil"/>
                          <w:bottom w:val="nil"/>
                          <w:right w:val="nil"/>
                        </w:tcBorders>
                        <w:shd w:val="clear" w:color="000000" w:fill="FFFFFF"/>
                        <w:vAlign w:val="center"/>
                        <w:hideMark/>
                      </w:tcPr>
                      <w:p w14:paraId="2DAA9CC3" w14:textId="77777777" w:rsidR="009B14D9" w:rsidRPr="00846EEE" w:rsidRDefault="009B14D9" w:rsidP="009B14D9">
                        <w:pPr>
                          <w:spacing w:after="0" w:line="240" w:lineRule="auto"/>
                          <w:ind w:left="-170" w:firstLine="68"/>
                          <w:jc w:val="both"/>
                          <w:rPr>
                            <w:rFonts w:asciiTheme="minorHAnsi" w:hAnsiTheme="minorHAnsi" w:cstheme="minorHAnsi"/>
                            <w:color w:val="000000"/>
                            <w:sz w:val="18"/>
                            <w:szCs w:val="18"/>
                          </w:rPr>
                        </w:pPr>
                        <w:r w:rsidRPr="00846EEE">
                          <w:rPr>
                            <w:rFonts w:asciiTheme="minorHAnsi" w:hAnsiTheme="minorHAnsi" w:cstheme="minorHAnsi"/>
                            <w:color w:val="000000"/>
                            <w:sz w:val="18"/>
                            <w:szCs w:val="18"/>
                            <w:lang w:val="en-US"/>
                          </w:rPr>
                          <w:t>Discount retailers</w:t>
                        </w:r>
                      </w:p>
                    </w:tc>
                    <w:tc>
                      <w:tcPr>
                        <w:tcW w:w="1643" w:type="dxa"/>
                        <w:tcBorders>
                          <w:top w:val="nil"/>
                          <w:left w:val="nil"/>
                          <w:bottom w:val="nil"/>
                          <w:right w:val="nil"/>
                        </w:tcBorders>
                        <w:shd w:val="clear" w:color="000000" w:fill="FFFFFF"/>
                        <w:vAlign w:val="center"/>
                        <w:hideMark/>
                      </w:tcPr>
                      <w:p w14:paraId="054CC25B" w14:textId="58812E36" w:rsidR="009B14D9" w:rsidRPr="00846EEE" w:rsidRDefault="009B14D9" w:rsidP="009B14D9">
                        <w:pPr>
                          <w:spacing w:after="0" w:line="240" w:lineRule="auto"/>
                          <w:jc w:val="right"/>
                          <w:rPr>
                            <w:rFonts w:asciiTheme="minorHAnsi" w:hAnsiTheme="minorHAnsi" w:cstheme="minorHAnsi"/>
                            <w:color w:val="000000"/>
                            <w:sz w:val="18"/>
                            <w:szCs w:val="18"/>
                          </w:rPr>
                        </w:pPr>
                        <w:r>
                          <w:rPr>
                            <w:rFonts w:cs="Calibri"/>
                            <w:color w:val="000000"/>
                            <w:sz w:val="18"/>
                            <w:szCs w:val="18"/>
                          </w:rPr>
                          <w:t>21,063</w:t>
                        </w:r>
                      </w:p>
                    </w:tc>
                    <w:tc>
                      <w:tcPr>
                        <w:tcW w:w="1643" w:type="dxa"/>
                        <w:tcBorders>
                          <w:top w:val="nil"/>
                          <w:left w:val="nil"/>
                          <w:bottom w:val="nil"/>
                          <w:right w:val="nil"/>
                        </w:tcBorders>
                        <w:shd w:val="clear" w:color="000000" w:fill="FFFFFF"/>
                        <w:vAlign w:val="center"/>
                        <w:hideMark/>
                      </w:tcPr>
                      <w:p w14:paraId="6CC8C48B" w14:textId="77777777" w:rsidR="009B14D9" w:rsidRPr="00846EEE" w:rsidRDefault="009B14D9" w:rsidP="009B14D9">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25,109</w:t>
                        </w:r>
                      </w:p>
                    </w:tc>
                    <w:tc>
                      <w:tcPr>
                        <w:tcW w:w="1644" w:type="dxa"/>
                        <w:tcBorders>
                          <w:top w:val="nil"/>
                          <w:left w:val="nil"/>
                          <w:bottom w:val="nil"/>
                          <w:right w:val="nil"/>
                        </w:tcBorders>
                        <w:shd w:val="clear" w:color="000000" w:fill="FFFFFF"/>
                        <w:vAlign w:val="center"/>
                        <w:hideMark/>
                      </w:tcPr>
                      <w:p w14:paraId="6D28FE22" w14:textId="77777777" w:rsidR="009B14D9" w:rsidRPr="00846EEE" w:rsidRDefault="009B14D9" w:rsidP="009B14D9">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lang w:val="x-none"/>
                          </w:rPr>
                          <w:t>48,126</w:t>
                        </w:r>
                      </w:p>
                    </w:tc>
                  </w:tr>
                  <w:tr w:rsidR="009B14D9" w:rsidRPr="00551D5A" w14:paraId="6C32A2F9" w14:textId="77777777" w:rsidTr="00997EF7">
                    <w:trPr>
                      <w:trHeight w:val="234"/>
                    </w:trPr>
                    <w:tc>
                      <w:tcPr>
                        <w:tcW w:w="4324" w:type="dxa"/>
                        <w:tcBorders>
                          <w:top w:val="nil"/>
                          <w:left w:val="nil"/>
                          <w:bottom w:val="nil"/>
                          <w:right w:val="nil"/>
                        </w:tcBorders>
                        <w:shd w:val="clear" w:color="000000" w:fill="FFFFFF"/>
                        <w:vAlign w:val="center"/>
                        <w:hideMark/>
                      </w:tcPr>
                      <w:p w14:paraId="636AA625" w14:textId="77777777" w:rsidR="009B14D9" w:rsidRPr="00846EEE" w:rsidRDefault="009B14D9" w:rsidP="009B14D9">
                        <w:pPr>
                          <w:spacing w:after="0" w:line="240" w:lineRule="auto"/>
                          <w:ind w:left="-170" w:firstLine="68"/>
                          <w:jc w:val="both"/>
                          <w:rPr>
                            <w:rFonts w:asciiTheme="minorHAnsi" w:hAnsiTheme="minorHAnsi" w:cstheme="minorHAnsi"/>
                            <w:color w:val="000000"/>
                            <w:sz w:val="18"/>
                            <w:szCs w:val="18"/>
                          </w:rPr>
                        </w:pPr>
                        <w:r w:rsidRPr="00846EEE">
                          <w:rPr>
                            <w:rFonts w:asciiTheme="minorHAnsi" w:hAnsiTheme="minorHAnsi" w:cstheme="minorHAnsi"/>
                            <w:color w:val="000000"/>
                            <w:sz w:val="18"/>
                            <w:szCs w:val="18"/>
                            <w:lang w:val="en-US"/>
                          </w:rPr>
                          <w:t>Multiple-store retailers</w:t>
                        </w:r>
                      </w:p>
                    </w:tc>
                    <w:tc>
                      <w:tcPr>
                        <w:tcW w:w="1643" w:type="dxa"/>
                        <w:tcBorders>
                          <w:top w:val="nil"/>
                          <w:left w:val="nil"/>
                          <w:bottom w:val="nil"/>
                          <w:right w:val="nil"/>
                        </w:tcBorders>
                        <w:shd w:val="clear" w:color="000000" w:fill="FFFFFF"/>
                        <w:vAlign w:val="center"/>
                        <w:hideMark/>
                      </w:tcPr>
                      <w:p w14:paraId="0D74CD82" w14:textId="3F865B46" w:rsidR="009B14D9" w:rsidRPr="00846EEE" w:rsidRDefault="009B14D9" w:rsidP="009B14D9">
                        <w:pPr>
                          <w:spacing w:after="0" w:line="240" w:lineRule="auto"/>
                          <w:jc w:val="right"/>
                          <w:rPr>
                            <w:rFonts w:asciiTheme="minorHAnsi" w:hAnsiTheme="minorHAnsi" w:cstheme="minorHAnsi"/>
                            <w:color w:val="000000"/>
                            <w:sz w:val="18"/>
                            <w:szCs w:val="18"/>
                          </w:rPr>
                        </w:pPr>
                        <w:r>
                          <w:rPr>
                            <w:rFonts w:cs="Calibri"/>
                            <w:color w:val="000000"/>
                            <w:sz w:val="18"/>
                            <w:szCs w:val="18"/>
                          </w:rPr>
                          <w:t>10,966</w:t>
                        </w:r>
                      </w:p>
                    </w:tc>
                    <w:tc>
                      <w:tcPr>
                        <w:tcW w:w="1643" w:type="dxa"/>
                        <w:tcBorders>
                          <w:top w:val="nil"/>
                          <w:left w:val="nil"/>
                          <w:bottom w:val="nil"/>
                          <w:right w:val="nil"/>
                        </w:tcBorders>
                        <w:shd w:val="clear" w:color="000000" w:fill="FFFFFF"/>
                        <w:vAlign w:val="center"/>
                        <w:hideMark/>
                      </w:tcPr>
                      <w:p w14:paraId="54FCB590" w14:textId="4B2F7054" w:rsidR="009B14D9" w:rsidRPr="00846EEE" w:rsidRDefault="009B14D9" w:rsidP="009B14D9">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9,2</w:t>
                        </w:r>
                        <w:r w:rsidR="006D7346">
                          <w:rPr>
                            <w:rFonts w:asciiTheme="minorHAnsi" w:hAnsiTheme="minorHAnsi" w:cstheme="minorHAnsi"/>
                            <w:color w:val="000000"/>
                            <w:sz w:val="18"/>
                            <w:szCs w:val="18"/>
                          </w:rPr>
                          <w:t>2</w:t>
                        </w:r>
                        <w:r w:rsidRPr="00846EEE">
                          <w:rPr>
                            <w:rFonts w:asciiTheme="minorHAnsi" w:hAnsiTheme="minorHAnsi" w:cstheme="minorHAnsi"/>
                            <w:color w:val="000000"/>
                            <w:sz w:val="18"/>
                            <w:szCs w:val="18"/>
                          </w:rPr>
                          <w:t>0</w:t>
                        </w:r>
                      </w:p>
                    </w:tc>
                    <w:tc>
                      <w:tcPr>
                        <w:tcW w:w="1644" w:type="dxa"/>
                        <w:tcBorders>
                          <w:top w:val="nil"/>
                          <w:left w:val="nil"/>
                          <w:bottom w:val="nil"/>
                          <w:right w:val="nil"/>
                        </w:tcBorders>
                        <w:shd w:val="clear" w:color="000000" w:fill="FFFFFF"/>
                        <w:vAlign w:val="center"/>
                        <w:hideMark/>
                      </w:tcPr>
                      <w:p w14:paraId="7DCE3E22" w14:textId="77777777" w:rsidR="009B14D9" w:rsidRPr="00846EEE" w:rsidRDefault="009B14D9" w:rsidP="009B14D9">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lang w:val="x-none"/>
                          </w:rPr>
                          <w:t>17,312</w:t>
                        </w:r>
                      </w:p>
                    </w:tc>
                  </w:tr>
                  <w:tr w:rsidR="009B14D9" w:rsidRPr="00551D5A" w14:paraId="3592DAEE" w14:textId="77777777" w:rsidTr="00997EF7">
                    <w:trPr>
                      <w:trHeight w:val="246"/>
                    </w:trPr>
                    <w:tc>
                      <w:tcPr>
                        <w:tcW w:w="4324" w:type="dxa"/>
                        <w:tcBorders>
                          <w:top w:val="nil"/>
                          <w:left w:val="nil"/>
                          <w:bottom w:val="nil"/>
                          <w:right w:val="nil"/>
                        </w:tcBorders>
                        <w:shd w:val="clear" w:color="000000" w:fill="FFFFFF"/>
                        <w:vAlign w:val="center"/>
                        <w:hideMark/>
                      </w:tcPr>
                      <w:p w14:paraId="6DA317C6" w14:textId="77777777" w:rsidR="009B14D9" w:rsidRPr="00846EEE" w:rsidRDefault="009B14D9" w:rsidP="009B14D9">
                        <w:pPr>
                          <w:spacing w:after="0" w:line="240" w:lineRule="auto"/>
                          <w:ind w:left="-170" w:firstLine="68"/>
                          <w:jc w:val="both"/>
                          <w:rPr>
                            <w:rFonts w:asciiTheme="minorHAnsi" w:hAnsiTheme="minorHAnsi" w:cstheme="minorHAnsi"/>
                            <w:color w:val="000000"/>
                            <w:sz w:val="18"/>
                            <w:szCs w:val="18"/>
                          </w:rPr>
                        </w:pPr>
                        <w:r w:rsidRPr="00846EEE">
                          <w:rPr>
                            <w:rFonts w:asciiTheme="minorHAnsi" w:hAnsiTheme="minorHAnsi" w:cstheme="minorHAnsi"/>
                            <w:color w:val="000000"/>
                            <w:sz w:val="18"/>
                            <w:szCs w:val="18"/>
                            <w:lang w:val="en-US"/>
                          </w:rPr>
                          <w:t>Other</w:t>
                        </w:r>
                      </w:p>
                    </w:tc>
                    <w:tc>
                      <w:tcPr>
                        <w:tcW w:w="1643" w:type="dxa"/>
                        <w:tcBorders>
                          <w:top w:val="nil"/>
                          <w:left w:val="nil"/>
                          <w:bottom w:val="nil"/>
                          <w:right w:val="nil"/>
                        </w:tcBorders>
                        <w:shd w:val="clear" w:color="000000" w:fill="FFFFFF"/>
                        <w:vAlign w:val="center"/>
                        <w:hideMark/>
                      </w:tcPr>
                      <w:p w14:paraId="24D407BC" w14:textId="20686D77" w:rsidR="009B14D9" w:rsidRPr="00846EEE" w:rsidRDefault="009B14D9" w:rsidP="009B14D9">
                        <w:pPr>
                          <w:spacing w:after="0" w:line="240" w:lineRule="auto"/>
                          <w:jc w:val="right"/>
                          <w:rPr>
                            <w:rFonts w:asciiTheme="minorHAnsi" w:hAnsiTheme="minorHAnsi" w:cstheme="minorHAnsi"/>
                            <w:color w:val="000000"/>
                            <w:sz w:val="18"/>
                            <w:szCs w:val="18"/>
                          </w:rPr>
                        </w:pPr>
                        <w:r>
                          <w:rPr>
                            <w:rFonts w:cs="Calibri"/>
                            <w:color w:val="000000"/>
                            <w:sz w:val="18"/>
                            <w:szCs w:val="18"/>
                          </w:rPr>
                          <w:t>4,576</w:t>
                        </w:r>
                      </w:p>
                    </w:tc>
                    <w:tc>
                      <w:tcPr>
                        <w:tcW w:w="1643" w:type="dxa"/>
                        <w:tcBorders>
                          <w:top w:val="nil"/>
                          <w:left w:val="nil"/>
                          <w:bottom w:val="nil"/>
                          <w:right w:val="nil"/>
                        </w:tcBorders>
                        <w:shd w:val="clear" w:color="000000" w:fill="FFFFFF"/>
                        <w:vAlign w:val="center"/>
                        <w:hideMark/>
                      </w:tcPr>
                      <w:p w14:paraId="75397410" w14:textId="77777777" w:rsidR="009B14D9" w:rsidRPr="00846EEE" w:rsidRDefault="009B14D9" w:rsidP="009B14D9">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6,747</w:t>
                        </w:r>
                      </w:p>
                    </w:tc>
                    <w:tc>
                      <w:tcPr>
                        <w:tcW w:w="1644" w:type="dxa"/>
                        <w:tcBorders>
                          <w:top w:val="nil"/>
                          <w:left w:val="nil"/>
                          <w:bottom w:val="nil"/>
                          <w:right w:val="nil"/>
                        </w:tcBorders>
                        <w:shd w:val="clear" w:color="000000" w:fill="FFFFFF"/>
                        <w:vAlign w:val="center"/>
                        <w:hideMark/>
                      </w:tcPr>
                      <w:p w14:paraId="38266F91" w14:textId="77777777" w:rsidR="009B14D9" w:rsidRPr="00846EEE" w:rsidRDefault="009B14D9" w:rsidP="009B14D9">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lang w:val="x-none"/>
                          </w:rPr>
                          <w:t>11,909</w:t>
                        </w:r>
                      </w:p>
                    </w:tc>
                  </w:tr>
                  <w:tr w:rsidR="009B14D9" w:rsidRPr="00551D5A" w14:paraId="34FD5200" w14:textId="77777777" w:rsidTr="00997EF7">
                    <w:trPr>
                      <w:trHeight w:val="246"/>
                    </w:trPr>
                    <w:tc>
                      <w:tcPr>
                        <w:tcW w:w="4324" w:type="dxa"/>
                        <w:tcBorders>
                          <w:top w:val="single" w:sz="8" w:space="0" w:color="auto"/>
                          <w:left w:val="nil"/>
                          <w:bottom w:val="double" w:sz="6" w:space="0" w:color="auto"/>
                          <w:right w:val="nil"/>
                        </w:tcBorders>
                        <w:shd w:val="clear" w:color="000000" w:fill="FFFFFF"/>
                        <w:vAlign w:val="center"/>
                        <w:hideMark/>
                      </w:tcPr>
                      <w:p w14:paraId="5DE59A5A" w14:textId="77777777" w:rsidR="009B14D9" w:rsidRPr="00846EEE" w:rsidRDefault="009B14D9" w:rsidP="009B14D9">
                        <w:pPr>
                          <w:spacing w:after="0" w:line="240" w:lineRule="auto"/>
                          <w:ind w:left="-170" w:firstLine="68"/>
                          <w:jc w:val="both"/>
                          <w:rPr>
                            <w:rFonts w:asciiTheme="minorHAnsi" w:hAnsiTheme="minorHAnsi" w:cstheme="minorHAnsi"/>
                            <w:b/>
                            <w:bCs/>
                            <w:color w:val="000000"/>
                            <w:sz w:val="18"/>
                            <w:szCs w:val="18"/>
                          </w:rPr>
                        </w:pPr>
                        <w:r w:rsidRPr="00846EEE">
                          <w:rPr>
                            <w:rFonts w:asciiTheme="minorHAnsi" w:hAnsiTheme="minorHAnsi" w:cstheme="minorHAnsi"/>
                            <w:b/>
                            <w:bCs/>
                            <w:color w:val="000000"/>
                            <w:sz w:val="18"/>
                            <w:szCs w:val="18"/>
                            <w:lang w:val="en-US"/>
                          </w:rPr>
                          <w:t>Total</w:t>
                        </w:r>
                      </w:p>
                    </w:tc>
                    <w:tc>
                      <w:tcPr>
                        <w:tcW w:w="1643" w:type="dxa"/>
                        <w:tcBorders>
                          <w:top w:val="single" w:sz="8" w:space="0" w:color="auto"/>
                          <w:left w:val="nil"/>
                          <w:bottom w:val="double" w:sz="6" w:space="0" w:color="auto"/>
                          <w:right w:val="nil"/>
                        </w:tcBorders>
                        <w:shd w:val="clear" w:color="000000" w:fill="FFFFFF"/>
                        <w:vAlign w:val="center"/>
                        <w:hideMark/>
                      </w:tcPr>
                      <w:p w14:paraId="4C5F49E2" w14:textId="613C2A52" w:rsidR="009B14D9" w:rsidRPr="00B91782" w:rsidRDefault="009B14D9" w:rsidP="009B14D9">
                        <w:pPr>
                          <w:spacing w:after="0" w:line="240" w:lineRule="auto"/>
                          <w:jc w:val="right"/>
                          <w:rPr>
                            <w:rFonts w:asciiTheme="minorHAnsi" w:hAnsiTheme="minorHAnsi" w:cstheme="minorHAnsi"/>
                            <w:b/>
                            <w:bCs/>
                            <w:color w:val="000000"/>
                            <w:sz w:val="18"/>
                            <w:szCs w:val="18"/>
                          </w:rPr>
                        </w:pPr>
                        <w:r w:rsidRPr="00997EF7">
                          <w:rPr>
                            <w:rFonts w:cs="Calibri"/>
                            <w:b/>
                            <w:bCs/>
                            <w:color w:val="000000"/>
                            <w:sz w:val="18"/>
                            <w:szCs w:val="18"/>
                          </w:rPr>
                          <w:t>87,606</w:t>
                        </w:r>
                      </w:p>
                    </w:tc>
                    <w:tc>
                      <w:tcPr>
                        <w:tcW w:w="1643" w:type="dxa"/>
                        <w:tcBorders>
                          <w:top w:val="single" w:sz="8" w:space="0" w:color="auto"/>
                          <w:left w:val="nil"/>
                          <w:bottom w:val="double" w:sz="6" w:space="0" w:color="auto"/>
                          <w:right w:val="nil"/>
                        </w:tcBorders>
                        <w:shd w:val="clear" w:color="000000" w:fill="FFFFFF"/>
                        <w:vAlign w:val="center"/>
                        <w:hideMark/>
                      </w:tcPr>
                      <w:p w14:paraId="7EA23F1C" w14:textId="75F5145D" w:rsidR="009B14D9" w:rsidRPr="00846EEE" w:rsidRDefault="009B14D9" w:rsidP="009B14D9">
                        <w:pPr>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color w:val="000000"/>
                            <w:sz w:val="18"/>
                            <w:szCs w:val="18"/>
                          </w:rPr>
                          <w:t>85,7</w:t>
                        </w:r>
                        <w:r w:rsidR="006D7346">
                          <w:rPr>
                            <w:rFonts w:asciiTheme="minorHAnsi" w:hAnsiTheme="minorHAnsi" w:cstheme="minorHAnsi"/>
                            <w:color w:val="000000"/>
                            <w:sz w:val="18"/>
                            <w:szCs w:val="18"/>
                          </w:rPr>
                          <w:t>4</w:t>
                        </w:r>
                        <w:r w:rsidRPr="00846EEE">
                          <w:rPr>
                            <w:rFonts w:asciiTheme="minorHAnsi" w:hAnsiTheme="minorHAnsi" w:cstheme="minorHAnsi"/>
                            <w:color w:val="000000"/>
                            <w:sz w:val="18"/>
                            <w:szCs w:val="18"/>
                          </w:rPr>
                          <w:t>6</w:t>
                        </w:r>
                      </w:p>
                    </w:tc>
                    <w:tc>
                      <w:tcPr>
                        <w:tcW w:w="1644" w:type="dxa"/>
                        <w:tcBorders>
                          <w:top w:val="single" w:sz="8" w:space="0" w:color="auto"/>
                          <w:left w:val="nil"/>
                          <w:bottom w:val="double" w:sz="6" w:space="0" w:color="auto"/>
                          <w:right w:val="nil"/>
                        </w:tcBorders>
                        <w:shd w:val="clear" w:color="000000" w:fill="FFFFFF"/>
                        <w:vAlign w:val="center"/>
                        <w:hideMark/>
                      </w:tcPr>
                      <w:p w14:paraId="315C1779" w14:textId="77777777" w:rsidR="009B14D9" w:rsidRPr="00997EF7" w:rsidRDefault="009B14D9" w:rsidP="009B14D9">
                        <w:pPr>
                          <w:spacing w:after="0" w:line="240" w:lineRule="auto"/>
                          <w:jc w:val="right"/>
                          <w:rPr>
                            <w:rFonts w:asciiTheme="minorHAnsi" w:hAnsiTheme="minorHAnsi" w:cstheme="minorHAnsi"/>
                            <w:color w:val="000000"/>
                            <w:sz w:val="18"/>
                            <w:szCs w:val="18"/>
                          </w:rPr>
                        </w:pPr>
                        <w:r w:rsidRPr="00997EF7">
                          <w:rPr>
                            <w:rFonts w:asciiTheme="minorHAnsi" w:hAnsiTheme="minorHAnsi" w:cstheme="minorHAnsi"/>
                            <w:color w:val="000000"/>
                            <w:sz w:val="18"/>
                            <w:szCs w:val="18"/>
                            <w:lang w:val="x-none"/>
                          </w:rPr>
                          <w:t>154,191</w:t>
                        </w:r>
                      </w:p>
                    </w:tc>
                  </w:tr>
                </w:tbl>
                <w:p w14:paraId="73D53F80" w14:textId="4BDC24ED" w:rsidR="009A2230" w:rsidRDefault="009A2230" w:rsidP="00846EEE">
                  <w:pPr>
                    <w:pStyle w:val="DecimalAligned"/>
                    <w:tabs>
                      <w:tab w:val="clear" w:pos="360"/>
                      <w:tab w:val="left" w:pos="352"/>
                    </w:tabs>
                    <w:spacing w:after="0" w:line="240" w:lineRule="auto"/>
                    <w:rPr>
                      <w:rFonts w:asciiTheme="minorHAnsi" w:hAnsiTheme="minorHAnsi" w:cstheme="minorHAnsi"/>
                      <w:b/>
                      <w:bCs/>
                      <w:color w:val="000000"/>
                      <w:sz w:val="18"/>
                      <w:szCs w:val="18"/>
                      <w:lang w:bidi="en-US"/>
                    </w:rPr>
                  </w:pPr>
                </w:p>
                <w:p w14:paraId="065A8514" w14:textId="77777777" w:rsidR="00876AEA" w:rsidRPr="00846EEE" w:rsidRDefault="00876AEA" w:rsidP="00846EEE">
                  <w:pPr>
                    <w:pStyle w:val="DecimalAligned"/>
                    <w:tabs>
                      <w:tab w:val="clear" w:pos="360"/>
                      <w:tab w:val="left" w:pos="352"/>
                    </w:tabs>
                    <w:spacing w:after="0" w:line="240" w:lineRule="auto"/>
                    <w:rPr>
                      <w:rFonts w:asciiTheme="minorHAnsi" w:hAnsiTheme="minorHAnsi" w:cstheme="minorHAnsi"/>
                      <w:b/>
                      <w:bCs/>
                      <w:color w:val="000000"/>
                      <w:sz w:val="18"/>
                      <w:szCs w:val="18"/>
                      <w:lang w:bidi="en-US"/>
                    </w:rPr>
                  </w:pPr>
                </w:p>
                <w:p w14:paraId="56F1F7ED" w14:textId="7EFCD636" w:rsidR="00964C5A" w:rsidRPr="00846EEE" w:rsidRDefault="00964C5A" w:rsidP="0047121F">
                  <w:pPr>
                    <w:pStyle w:val="DecimalAligned"/>
                    <w:numPr>
                      <w:ilvl w:val="0"/>
                      <w:numId w:val="1"/>
                    </w:numPr>
                    <w:tabs>
                      <w:tab w:val="clear" w:pos="360"/>
                      <w:tab w:val="left" w:pos="352"/>
                    </w:tabs>
                    <w:spacing w:after="0" w:line="240" w:lineRule="auto"/>
                    <w:ind w:hanging="720"/>
                    <w:rPr>
                      <w:rFonts w:asciiTheme="minorHAnsi" w:hAnsiTheme="minorHAnsi" w:cstheme="minorHAnsi"/>
                      <w:b/>
                      <w:bCs/>
                      <w:color w:val="000000"/>
                      <w:sz w:val="18"/>
                      <w:szCs w:val="18"/>
                      <w:lang w:bidi="en-US"/>
                    </w:rPr>
                  </w:pPr>
                  <w:r w:rsidRPr="00846EEE">
                    <w:rPr>
                      <w:rFonts w:asciiTheme="minorHAnsi" w:hAnsiTheme="minorHAnsi" w:cstheme="minorHAnsi"/>
                      <w:b/>
                      <w:bCs/>
                      <w:color w:val="000000"/>
                      <w:sz w:val="18"/>
                      <w:szCs w:val="18"/>
                      <w:lang w:bidi="en-US"/>
                    </w:rPr>
                    <w:t xml:space="preserve">Finance </w:t>
                  </w:r>
                  <w:r w:rsidR="004D20C3" w:rsidRPr="00846EEE">
                    <w:rPr>
                      <w:rFonts w:asciiTheme="minorHAnsi" w:hAnsiTheme="minorHAnsi" w:cstheme="minorHAnsi"/>
                      <w:b/>
                      <w:bCs/>
                      <w:color w:val="000000"/>
                      <w:sz w:val="18"/>
                      <w:szCs w:val="18"/>
                      <w:lang w:bidi="en-US"/>
                    </w:rPr>
                    <w:t>Costs</w:t>
                  </w:r>
                </w:p>
                <w:p w14:paraId="44B2CBC7" w14:textId="557037D3" w:rsidR="00742765" w:rsidRPr="00846EEE" w:rsidRDefault="00742765" w:rsidP="00742765">
                  <w:pPr>
                    <w:pStyle w:val="DecimalAligned"/>
                    <w:tabs>
                      <w:tab w:val="clear" w:pos="360"/>
                      <w:tab w:val="left" w:pos="352"/>
                    </w:tabs>
                    <w:spacing w:after="0" w:line="240" w:lineRule="auto"/>
                    <w:rPr>
                      <w:rFonts w:asciiTheme="minorHAnsi" w:hAnsiTheme="minorHAnsi" w:cstheme="minorHAnsi"/>
                      <w:b/>
                      <w:bCs/>
                      <w:color w:val="000000"/>
                      <w:sz w:val="18"/>
                      <w:szCs w:val="18"/>
                      <w:lang w:bidi="en-US"/>
                    </w:rPr>
                  </w:pPr>
                </w:p>
                <w:tbl>
                  <w:tblPr>
                    <w:tblStyle w:val="TableGrid"/>
                    <w:tblW w:w="93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90"/>
                    <w:gridCol w:w="1701"/>
                    <w:gridCol w:w="1701"/>
                    <w:gridCol w:w="1701"/>
                  </w:tblGrid>
                  <w:tr w:rsidR="00876AEA" w:rsidRPr="00551D5A" w14:paraId="62018C1A" w14:textId="77777777" w:rsidTr="00997EF7">
                    <w:trPr>
                      <w:trHeight w:val="135"/>
                    </w:trPr>
                    <w:tc>
                      <w:tcPr>
                        <w:tcW w:w="4290" w:type="dxa"/>
                      </w:tcPr>
                      <w:p w14:paraId="1043D20B" w14:textId="77777777" w:rsidR="00876AEA" w:rsidRPr="00846EEE" w:rsidRDefault="00876AEA" w:rsidP="00876AEA">
                        <w:pPr>
                          <w:pStyle w:val="DecimalAligned"/>
                          <w:tabs>
                            <w:tab w:val="clear" w:pos="360"/>
                            <w:tab w:val="left" w:pos="352"/>
                          </w:tabs>
                          <w:spacing w:after="0" w:line="240" w:lineRule="auto"/>
                          <w:rPr>
                            <w:rFonts w:asciiTheme="minorHAnsi" w:hAnsiTheme="minorHAnsi" w:cstheme="minorHAnsi"/>
                            <w:b/>
                            <w:bCs/>
                            <w:color w:val="000000"/>
                            <w:sz w:val="18"/>
                            <w:szCs w:val="18"/>
                            <w:lang w:bidi="en-US"/>
                          </w:rPr>
                        </w:pPr>
                      </w:p>
                    </w:tc>
                    <w:tc>
                      <w:tcPr>
                        <w:tcW w:w="1701" w:type="dxa"/>
                        <w:vAlign w:val="bottom"/>
                      </w:tcPr>
                      <w:p w14:paraId="3B13701C" w14:textId="77777777" w:rsidR="00876AEA" w:rsidRDefault="00876AEA" w:rsidP="00876AEA">
                        <w:pPr>
                          <w:pStyle w:val="DecimalAligned"/>
                          <w:tabs>
                            <w:tab w:val="clear" w:pos="360"/>
                            <w:tab w:val="left" w:pos="352"/>
                          </w:tabs>
                          <w:spacing w:after="0" w:line="240" w:lineRule="auto"/>
                          <w:jc w:val="right"/>
                          <w:rPr>
                            <w:rFonts w:asciiTheme="minorHAnsi" w:hAnsiTheme="minorHAnsi" w:cstheme="minorHAnsi"/>
                            <w:b/>
                            <w:bCs/>
                            <w:sz w:val="18"/>
                            <w:szCs w:val="18"/>
                          </w:rPr>
                        </w:pPr>
                        <w:r>
                          <w:rPr>
                            <w:rFonts w:asciiTheme="minorHAnsi" w:hAnsiTheme="minorHAnsi" w:cstheme="minorHAnsi"/>
                            <w:b/>
                            <w:bCs/>
                            <w:sz w:val="18"/>
                            <w:szCs w:val="18"/>
                          </w:rPr>
                          <w:t xml:space="preserve">6 </w:t>
                        </w:r>
                        <w:r w:rsidRPr="00846EEE">
                          <w:rPr>
                            <w:rFonts w:asciiTheme="minorHAnsi" w:hAnsiTheme="minorHAnsi" w:cstheme="minorHAnsi"/>
                            <w:b/>
                            <w:bCs/>
                            <w:sz w:val="18"/>
                            <w:szCs w:val="18"/>
                          </w:rPr>
                          <w:t xml:space="preserve">months </w:t>
                        </w:r>
                        <w:proofErr w:type="gramStart"/>
                        <w:r w:rsidRPr="00846EEE">
                          <w:rPr>
                            <w:rFonts w:asciiTheme="minorHAnsi" w:hAnsiTheme="minorHAnsi" w:cstheme="minorHAnsi"/>
                            <w:b/>
                            <w:bCs/>
                            <w:sz w:val="18"/>
                            <w:szCs w:val="18"/>
                          </w:rPr>
                          <w:t>ended</w:t>
                        </w:r>
                        <w:proofErr w:type="gramEnd"/>
                        <w:r w:rsidRPr="00846EEE">
                          <w:rPr>
                            <w:rFonts w:asciiTheme="minorHAnsi" w:hAnsiTheme="minorHAnsi" w:cstheme="minorHAnsi"/>
                            <w:b/>
                            <w:bCs/>
                            <w:sz w:val="18"/>
                            <w:szCs w:val="18"/>
                          </w:rPr>
                          <w:t xml:space="preserve"> </w:t>
                        </w:r>
                      </w:p>
                      <w:p w14:paraId="14DDAE6A" w14:textId="21730171" w:rsidR="00876AEA" w:rsidRPr="00846EEE" w:rsidRDefault="00876AEA" w:rsidP="00876AEA">
                        <w:pPr>
                          <w:pStyle w:val="DecimalAligned"/>
                          <w:tabs>
                            <w:tab w:val="clear" w:pos="360"/>
                            <w:tab w:val="left" w:pos="352"/>
                          </w:tabs>
                          <w:spacing w:after="0" w:line="240" w:lineRule="auto"/>
                          <w:jc w:val="right"/>
                          <w:rPr>
                            <w:rFonts w:asciiTheme="minorHAnsi" w:hAnsiTheme="minorHAnsi" w:cstheme="minorHAnsi"/>
                            <w:b/>
                            <w:bCs/>
                            <w:color w:val="000000"/>
                            <w:sz w:val="18"/>
                            <w:szCs w:val="18"/>
                            <w:lang w:bidi="en-US"/>
                          </w:rPr>
                        </w:pPr>
                        <w:r>
                          <w:rPr>
                            <w:rFonts w:asciiTheme="minorHAnsi" w:hAnsiTheme="minorHAnsi" w:cstheme="minorHAnsi"/>
                            <w:b/>
                            <w:bCs/>
                            <w:sz w:val="18"/>
                            <w:szCs w:val="18"/>
                          </w:rPr>
                          <w:t>31 January 2023</w:t>
                        </w:r>
                      </w:p>
                    </w:tc>
                    <w:tc>
                      <w:tcPr>
                        <w:tcW w:w="1701" w:type="dxa"/>
                        <w:vAlign w:val="bottom"/>
                      </w:tcPr>
                      <w:p w14:paraId="0DC7AEF7" w14:textId="77777777" w:rsidR="00876AEA" w:rsidRPr="00997EF7" w:rsidRDefault="00876AEA" w:rsidP="00876AEA">
                        <w:pPr>
                          <w:spacing w:after="0" w:line="240" w:lineRule="auto"/>
                          <w:jc w:val="right"/>
                          <w:rPr>
                            <w:rFonts w:asciiTheme="minorHAnsi" w:hAnsiTheme="minorHAnsi" w:cstheme="minorHAnsi"/>
                            <w:sz w:val="18"/>
                            <w:szCs w:val="18"/>
                          </w:rPr>
                        </w:pPr>
                        <w:r w:rsidRPr="00997EF7">
                          <w:rPr>
                            <w:rFonts w:asciiTheme="minorHAnsi" w:hAnsiTheme="minorHAnsi" w:cstheme="minorHAnsi"/>
                            <w:sz w:val="18"/>
                            <w:szCs w:val="18"/>
                          </w:rPr>
                          <w:t xml:space="preserve">6 months </w:t>
                        </w:r>
                        <w:proofErr w:type="gramStart"/>
                        <w:r w:rsidRPr="00997EF7">
                          <w:rPr>
                            <w:rFonts w:asciiTheme="minorHAnsi" w:hAnsiTheme="minorHAnsi" w:cstheme="minorHAnsi"/>
                            <w:sz w:val="18"/>
                            <w:szCs w:val="18"/>
                          </w:rPr>
                          <w:t>ended</w:t>
                        </w:r>
                        <w:proofErr w:type="gramEnd"/>
                        <w:r w:rsidRPr="00997EF7">
                          <w:rPr>
                            <w:rFonts w:asciiTheme="minorHAnsi" w:hAnsiTheme="minorHAnsi" w:cstheme="minorHAnsi"/>
                            <w:sz w:val="18"/>
                            <w:szCs w:val="18"/>
                          </w:rPr>
                          <w:t xml:space="preserve"> </w:t>
                        </w:r>
                      </w:p>
                      <w:p w14:paraId="1778D7C0" w14:textId="540B16E7" w:rsidR="00876AEA" w:rsidRPr="00997EF7" w:rsidRDefault="00876AEA" w:rsidP="00876AEA">
                        <w:pPr>
                          <w:pStyle w:val="DecimalAligned"/>
                          <w:tabs>
                            <w:tab w:val="clear" w:pos="360"/>
                            <w:tab w:val="left" w:pos="352"/>
                          </w:tabs>
                          <w:spacing w:after="0" w:line="240" w:lineRule="auto"/>
                          <w:jc w:val="right"/>
                          <w:rPr>
                            <w:rFonts w:asciiTheme="minorHAnsi" w:hAnsiTheme="minorHAnsi" w:cstheme="minorHAnsi"/>
                            <w:color w:val="000000"/>
                            <w:sz w:val="18"/>
                            <w:szCs w:val="18"/>
                            <w:lang w:bidi="en-US"/>
                          </w:rPr>
                        </w:pPr>
                        <w:r w:rsidRPr="00997EF7">
                          <w:rPr>
                            <w:rFonts w:asciiTheme="minorHAnsi" w:hAnsiTheme="minorHAnsi" w:cstheme="minorHAnsi"/>
                            <w:sz w:val="18"/>
                            <w:szCs w:val="18"/>
                          </w:rPr>
                          <w:t>31 January 2022</w:t>
                        </w:r>
                      </w:p>
                    </w:tc>
                    <w:tc>
                      <w:tcPr>
                        <w:tcW w:w="1701" w:type="dxa"/>
                        <w:vAlign w:val="bottom"/>
                      </w:tcPr>
                      <w:p w14:paraId="5498F12B" w14:textId="77777777" w:rsidR="00876AEA" w:rsidRPr="00997EF7" w:rsidRDefault="00876AEA" w:rsidP="00876AEA">
                        <w:pPr>
                          <w:spacing w:after="0" w:line="240" w:lineRule="auto"/>
                          <w:jc w:val="right"/>
                          <w:rPr>
                            <w:rFonts w:asciiTheme="minorHAnsi" w:hAnsiTheme="minorHAnsi" w:cstheme="minorHAnsi"/>
                            <w:sz w:val="18"/>
                            <w:szCs w:val="18"/>
                            <w:lang w:val="en-US"/>
                          </w:rPr>
                        </w:pPr>
                        <w:r w:rsidRPr="00997EF7">
                          <w:rPr>
                            <w:rFonts w:asciiTheme="minorHAnsi" w:hAnsiTheme="minorHAnsi" w:cstheme="minorHAnsi"/>
                            <w:sz w:val="18"/>
                            <w:szCs w:val="18"/>
                            <w:lang w:val="en-US"/>
                          </w:rPr>
                          <w:t xml:space="preserve">Year </w:t>
                        </w:r>
                        <w:proofErr w:type="gramStart"/>
                        <w:r w:rsidRPr="00997EF7">
                          <w:rPr>
                            <w:rFonts w:asciiTheme="minorHAnsi" w:hAnsiTheme="minorHAnsi" w:cstheme="minorHAnsi"/>
                            <w:sz w:val="18"/>
                            <w:szCs w:val="18"/>
                            <w:lang w:val="en-US"/>
                          </w:rPr>
                          <w:t>ended</w:t>
                        </w:r>
                        <w:proofErr w:type="gramEnd"/>
                        <w:r w:rsidRPr="00997EF7">
                          <w:rPr>
                            <w:rFonts w:asciiTheme="minorHAnsi" w:hAnsiTheme="minorHAnsi" w:cstheme="minorHAnsi"/>
                            <w:sz w:val="18"/>
                            <w:szCs w:val="18"/>
                            <w:lang w:val="en-US"/>
                          </w:rPr>
                          <w:t xml:space="preserve"> </w:t>
                        </w:r>
                      </w:p>
                      <w:p w14:paraId="11F99FEB" w14:textId="487A875D" w:rsidR="00876AEA" w:rsidRPr="00997EF7" w:rsidRDefault="00876AEA" w:rsidP="00876AEA">
                        <w:pPr>
                          <w:pStyle w:val="DecimalAligned"/>
                          <w:tabs>
                            <w:tab w:val="clear" w:pos="360"/>
                            <w:tab w:val="left" w:pos="352"/>
                          </w:tabs>
                          <w:spacing w:after="0" w:line="240" w:lineRule="auto"/>
                          <w:jc w:val="right"/>
                          <w:rPr>
                            <w:rFonts w:asciiTheme="minorHAnsi" w:hAnsiTheme="minorHAnsi" w:cstheme="minorHAnsi"/>
                            <w:color w:val="000000"/>
                            <w:sz w:val="18"/>
                            <w:szCs w:val="18"/>
                            <w:lang w:bidi="en-US"/>
                          </w:rPr>
                        </w:pPr>
                        <w:r w:rsidRPr="00997EF7">
                          <w:rPr>
                            <w:rFonts w:asciiTheme="minorHAnsi" w:hAnsiTheme="minorHAnsi" w:cstheme="minorHAnsi"/>
                            <w:sz w:val="18"/>
                            <w:szCs w:val="18"/>
                          </w:rPr>
                          <w:t>31 July 2022</w:t>
                        </w:r>
                      </w:p>
                    </w:tc>
                  </w:tr>
                  <w:tr w:rsidR="00BC25D7" w:rsidRPr="00551D5A" w14:paraId="1E46A76D" w14:textId="77777777" w:rsidTr="00997EF7">
                    <w:trPr>
                      <w:trHeight w:val="135"/>
                    </w:trPr>
                    <w:tc>
                      <w:tcPr>
                        <w:tcW w:w="4290" w:type="dxa"/>
                      </w:tcPr>
                      <w:p w14:paraId="6A47A7BD" w14:textId="77777777" w:rsidR="00BC25D7" w:rsidRPr="00846EEE" w:rsidRDefault="00BC25D7" w:rsidP="00BC25D7">
                        <w:pPr>
                          <w:pStyle w:val="DecimalAligned"/>
                          <w:tabs>
                            <w:tab w:val="clear" w:pos="360"/>
                            <w:tab w:val="left" w:pos="352"/>
                          </w:tabs>
                          <w:spacing w:after="0" w:line="240" w:lineRule="auto"/>
                          <w:rPr>
                            <w:rFonts w:asciiTheme="minorHAnsi" w:hAnsiTheme="minorHAnsi" w:cstheme="minorHAnsi"/>
                            <w:b/>
                            <w:bCs/>
                            <w:color w:val="000000"/>
                            <w:sz w:val="18"/>
                            <w:szCs w:val="18"/>
                            <w:lang w:bidi="en-US"/>
                          </w:rPr>
                        </w:pPr>
                      </w:p>
                    </w:tc>
                    <w:tc>
                      <w:tcPr>
                        <w:tcW w:w="1701" w:type="dxa"/>
                        <w:vAlign w:val="center"/>
                      </w:tcPr>
                      <w:p w14:paraId="59FAE5A9" w14:textId="635C0B59" w:rsidR="00BC25D7" w:rsidRPr="00846EEE" w:rsidRDefault="00BC25D7" w:rsidP="00BC25D7">
                        <w:pPr>
                          <w:pStyle w:val="DecimalAligned"/>
                          <w:tabs>
                            <w:tab w:val="clear" w:pos="360"/>
                            <w:tab w:val="left" w:pos="352"/>
                          </w:tabs>
                          <w:spacing w:after="0" w:line="240" w:lineRule="auto"/>
                          <w:jc w:val="right"/>
                          <w:rPr>
                            <w:rFonts w:asciiTheme="minorHAnsi" w:hAnsiTheme="minorHAnsi" w:cstheme="minorHAnsi"/>
                            <w:b/>
                            <w:bCs/>
                            <w:sz w:val="18"/>
                            <w:szCs w:val="18"/>
                          </w:rPr>
                        </w:pPr>
                        <w:r w:rsidRPr="00846EEE">
                          <w:rPr>
                            <w:rFonts w:asciiTheme="minorHAnsi" w:hAnsiTheme="minorHAnsi" w:cstheme="minorHAnsi"/>
                            <w:b/>
                            <w:bCs/>
                            <w:sz w:val="18"/>
                            <w:szCs w:val="18"/>
                          </w:rPr>
                          <w:t>£’000</w:t>
                        </w:r>
                      </w:p>
                    </w:tc>
                    <w:tc>
                      <w:tcPr>
                        <w:tcW w:w="1701" w:type="dxa"/>
                        <w:vAlign w:val="center"/>
                      </w:tcPr>
                      <w:p w14:paraId="094962BC" w14:textId="0673161F" w:rsidR="00BC25D7" w:rsidRPr="00997EF7" w:rsidRDefault="00BC25D7" w:rsidP="00BC25D7">
                        <w:pPr>
                          <w:pStyle w:val="DecimalAligned"/>
                          <w:tabs>
                            <w:tab w:val="clear" w:pos="360"/>
                            <w:tab w:val="left" w:pos="352"/>
                          </w:tabs>
                          <w:spacing w:after="0" w:line="240" w:lineRule="auto"/>
                          <w:jc w:val="right"/>
                          <w:rPr>
                            <w:rFonts w:asciiTheme="minorHAnsi" w:hAnsiTheme="minorHAnsi" w:cstheme="minorHAnsi"/>
                            <w:sz w:val="18"/>
                            <w:szCs w:val="18"/>
                          </w:rPr>
                        </w:pPr>
                        <w:r w:rsidRPr="00997EF7">
                          <w:rPr>
                            <w:rFonts w:asciiTheme="minorHAnsi" w:hAnsiTheme="minorHAnsi" w:cstheme="minorHAnsi"/>
                            <w:sz w:val="18"/>
                            <w:szCs w:val="18"/>
                          </w:rPr>
                          <w:t>£’000</w:t>
                        </w:r>
                      </w:p>
                    </w:tc>
                    <w:tc>
                      <w:tcPr>
                        <w:tcW w:w="1701" w:type="dxa"/>
                        <w:vAlign w:val="center"/>
                      </w:tcPr>
                      <w:p w14:paraId="5F5D6DB5" w14:textId="74FDE3E2" w:rsidR="00BC25D7" w:rsidRPr="00997EF7" w:rsidRDefault="00BC25D7" w:rsidP="00BC25D7">
                        <w:pPr>
                          <w:pStyle w:val="DecimalAligned"/>
                          <w:tabs>
                            <w:tab w:val="clear" w:pos="360"/>
                            <w:tab w:val="left" w:pos="352"/>
                          </w:tabs>
                          <w:spacing w:after="0" w:line="240" w:lineRule="auto"/>
                          <w:jc w:val="right"/>
                          <w:rPr>
                            <w:rFonts w:asciiTheme="minorHAnsi" w:hAnsiTheme="minorHAnsi" w:cstheme="minorHAnsi"/>
                            <w:sz w:val="18"/>
                            <w:szCs w:val="18"/>
                          </w:rPr>
                        </w:pPr>
                        <w:r w:rsidRPr="00997EF7">
                          <w:rPr>
                            <w:rFonts w:asciiTheme="minorHAnsi" w:hAnsiTheme="minorHAnsi" w:cstheme="minorHAnsi"/>
                            <w:sz w:val="18"/>
                            <w:szCs w:val="18"/>
                          </w:rPr>
                          <w:t>£’000</w:t>
                        </w:r>
                      </w:p>
                    </w:tc>
                  </w:tr>
                  <w:tr w:rsidR="00BC25D7" w:rsidRPr="00551D5A" w14:paraId="78485BA5" w14:textId="77777777" w:rsidTr="00997EF7">
                    <w:trPr>
                      <w:trHeight w:val="176"/>
                    </w:trPr>
                    <w:tc>
                      <w:tcPr>
                        <w:tcW w:w="4290" w:type="dxa"/>
                        <w:tcBorders>
                          <w:top w:val="single" w:sz="4" w:space="0" w:color="auto"/>
                        </w:tcBorders>
                      </w:tcPr>
                      <w:p w14:paraId="7068BA01" w14:textId="3B878BD5" w:rsidR="00742765" w:rsidRPr="00846EEE" w:rsidRDefault="00742765" w:rsidP="00997EF7">
                        <w:pPr>
                          <w:pStyle w:val="DecimalAligned"/>
                          <w:tabs>
                            <w:tab w:val="clear" w:pos="360"/>
                            <w:tab w:val="left" w:pos="352"/>
                          </w:tabs>
                          <w:spacing w:after="0" w:line="240" w:lineRule="auto"/>
                          <w:ind w:left="-210" w:firstLine="142"/>
                          <w:rPr>
                            <w:rFonts w:asciiTheme="minorHAnsi" w:hAnsiTheme="minorHAnsi" w:cstheme="minorHAnsi"/>
                            <w:b/>
                            <w:bCs/>
                            <w:color w:val="000000"/>
                            <w:sz w:val="18"/>
                            <w:szCs w:val="18"/>
                            <w:lang w:bidi="en-US"/>
                          </w:rPr>
                        </w:pPr>
                        <w:r w:rsidRPr="00551D5A">
                          <w:rPr>
                            <w:rFonts w:asciiTheme="minorHAnsi" w:hAnsiTheme="minorHAnsi" w:cstheme="minorHAnsi"/>
                            <w:sz w:val="18"/>
                            <w:szCs w:val="18"/>
                            <w:lang w:eastAsia="en-US" w:bidi="en-US"/>
                          </w:rPr>
                          <w:t>Interest on bank loans and overdrafts</w:t>
                        </w:r>
                      </w:p>
                    </w:tc>
                    <w:tc>
                      <w:tcPr>
                        <w:tcW w:w="1701" w:type="dxa"/>
                        <w:tcBorders>
                          <w:top w:val="single" w:sz="4" w:space="0" w:color="auto"/>
                        </w:tcBorders>
                      </w:tcPr>
                      <w:p w14:paraId="7CB49C2A" w14:textId="1FA7E6C2" w:rsidR="00742765" w:rsidRPr="00846EEE" w:rsidRDefault="000D62C9" w:rsidP="00846EEE">
                        <w:pPr>
                          <w:pStyle w:val="DecimalAligned"/>
                          <w:tabs>
                            <w:tab w:val="clear" w:pos="360"/>
                            <w:tab w:val="left" w:pos="352"/>
                          </w:tabs>
                          <w:spacing w:after="0" w:line="240" w:lineRule="auto"/>
                          <w:jc w:val="right"/>
                          <w:rPr>
                            <w:rFonts w:asciiTheme="minorHAnsi" w:hAnsiTheme="minorHAnsi" w:cstheme="minorHAnsi"/>
                            <w:color w:val="000000"/>
                            <w:sz w:val="18"/>
                            <w:szCs w:val="18"/>
                            <w:lang w:bidi="en-US"/>
                          </w:rPr>
                        </w:pPr>
                        <w:r>
                          <w:rPr>
                            <w:rFonts w:asciiTheme="minorHAnsi" w:hAnsiTheme="minorHAnsi" w:cstheme="minorHAnsi"/>
                            <w:color w:val="000000"/>
                            <w:sz w:val="18"/>
                            <w:szCs w:val="18"/>
                            <w:lang w:bidi="en-US"/>
                          </w:rPr>
                          <w:t>740</w:t>
                        </w:r>
                      </w:p>
                    </w:tc>
                    <w:tc>
                      <w:tcPr>
                        <w:tcW w:w="1701" w:type="dxa"/>
                        <w:tcBorders>
                          <w:top w:val="single" w:sz="4" w:space="0" w:color="auto"/>
                        </w:tcBorders>
                      </w:tcPr>
                      <w:p w14:paraId="37D7F55D" w14:textId="104C87BA" w:rsidR="00742765" w:rsidRPr="000D62C9" w:rsidRDefault="00BC25D7" w:rsidP="00846EEE">
                        <w:pPr>
                          <w:pStyle w:val="DecimalAligned"/>
                          <w:tabs>
                            <w:tab w:val="clear" w:pos="360"/>
                            <w:tab w:val="left" w:pos="352"/>
                          </w:tabs>
                          <w:spacing w:after="0" w:line="240" w:lineRule="auto"/>
                          <w:jc w:val="right"/>
                          <w:rPr>
                            <w:rFonts w:asciiTheme="minorHAnsi" w:hAnsiTheme="minorHAnsi" w:cstheme="minorHAnsi"/>
                            <w:color w:val="000000"/>
                            <w:sz w:val="18"/>
                            <w:szCs w:val="18"/>
                            <w:lang w:bidi="en-US"/>
                          </w:rPr>
                        </w:pPr>
                        <w:r w:rsidRPr="000D62C9">
                          <w:rPr>
                            <w:rFonts w:asciiTheme="minorHAnsi" w:hAnsiTheme="minorHAnsi" w:cstheme="minorHAnsi"/>
                            <w:color w:val="000000"/>
                            <w:sz w:val="18"/>
                            <w:szCs w:val="18"/>
                            <w:lang w:bidi="en-US"/>
                          </w:rPr>
                          <w:t>332</w:t>
                        </w:r>
                      </w:p>
                    </w:tc>
                    <w:tc>
                      <w:tcPr>
                        <w:tcW w:w="1701" w:type="dxa"/>
                        <w:tcBorders>
                          <w:top w:val="single" w:sz="4" w:space="0" w:color="auto"/>
                        </w:tcBorders>
                      </w:tcPr>
                      <w:p w14:paraId="72ECBF3B" w14:textId="24855C8B" w:rsidR="00742765" w:rsidRPr="000D62C9" w:rsidRDefault="00742765" w:rsidP="00846EEE">
                        <w:pPr>
                          <w:pStyle w:val="DecimalAligned"/>
                          <w:tabs>
                            <w:tab w:val="clear" w:pos="360"/>
                            <w:tab w:val="left" w:pos="352"/>
                          </w:tabs>
                          <w:spacing w:after="0" w:line="240" w:lineRule="auto"/>
                          <w:jc w:val="right"/>
                          <w:rPr>
                            <w:rFonts w:asciiTheme="minorHAnsi" w:hAnsiTheme="minorHAnsi" w:cstheme="minorHAnsi"/>
                            <w:color w:val="000000"/>
                            <w:sz w:val="18"/>
                            <w:szCs w:val="18"/>
                            <w:lang w:bidi="en-US"/>
                          </w:rPr>
                        </w:pPr>
                        <w:r w:rsidRPr="000D62C9">
                          <w:rPr>
                            <w:rFonts w:asciiTheme="minorHAnsi" w:hAnsiTheme="minorHAnsi" w:cstheme="minorHAnsi"/>
                            <w:sz w:val="18"/>
                            <w:szCs w:val="18"/>
                            <w:lang w:eastAsia="en-US" w:bidi="en-US"/>
                          </w:rPr>
                          <w:t>704</w:t>
                        </w:r>
                      </w:p>
                    </w:tc>
                  </w:tr>
                  <w:tr w:rsidR="00BC25D7" w:rsidRPr="00551D5A" w14:paraId="4D7C156D" w14:textId="77777777" w:rsidTr="00997EF7">
                    <w:trPr>
                      <w:trHeight w:val="205"/>
                    </w:trPr>
                    <w:tc>
                      <w:tcPr>
                        <w:tcW w:w="4290" w:type="dxa"/>
                      </w:tcPr>
                      <w:p w14:paraId="0AF0B956" w14:textId="181DEA72" w:rsidR="00742765" w:rsidRPr="00846EEE" w:rsidRDefault="00742765" w:rsidP="00997EF7">
                        <w:pPr>
                          <w:pStyle w:val="DecimalAligned"/>
                          <w:tabs>
                            <w:tab w:val="clear" w:pos="360"/>
                            <w:tab w:val="left" w:pos="352"/>
                          </w:tabs>
                          <w:spacing w:after="0" w:line="240" w:lineRule="auto"/>
                          <w:ind w:left="-210" w:firstLine="142"/>
                          <w:rPr>
                            <w:rFonts w:asciiTheme="minorHAnsi" w:hAnsiTheme="minorHAnsi" w:cstheme="minorHAnsi"/>
                            <w:b/>
                            <w:bCs/>
                            <w:color w:val="000000"/>
                            <w:sz w:val="18"/>
                            <w:szCs w:val="18"/>
                            <w:lang w:bidi="en-US"/>
                          </w:rPr>
                        </w:pPr>
                        <w:r w:rsidRPr="00551D5A">
                          <w:rPr>
                            <w:rFonts w:asciiTheme="minorHAnsi" w:hAnsiTheme="minorHAnsi" w:cstheme="minorHAnsi"/>
                            <w:sz w:val="18"/>
                            <w:szCs w:val="18"/>
                            <w:lang w:eastAsia="en-US" w:bidi="en-US"/>
                          </w:rPr>
                          <w:t>Interest on lease liabilities</w:t>
                        </w:r>
                      </w:p>
                    </w:tc>
                    <w:tc>
                      <w:tcPr>
                        <w:tcW w:w="1701" w:type="dxa"/>
                      </w:tcPr>
                      <w:p w14:paraId="5002DD66" w14:textId="074C7081" w:rsidR="00742765" w:rsidRPr="00846EEE" w:rsidRDefault="000D62C9" w:rsidP="00846EEE">
                        <w:pPr>
                          <w:pStyle w:val="DecimalAligned"/>
                          <w:tabs>
                            <w:tab w:val="clear" w:pos="360"/>
                            <w:tab w:val="left" w:pos="352"/>
                          </w:tabs>
                          <w:spacing w:after="0" w:line="240" w:lineRule="auto"/>
                          <w:jc w:val="right"/>
                          <w:rPr>
                            <w:rFonts w:asciiTheme="minorHAnsi" w:hAnsiTheme="minorHAnsi" w:cstheme="minorHAnsi"/>
                            <w:color w:val="000000"/>
                            <w:sz w:val="18"/>
                            <w:szCs w:val="18"/>
                            <w:lang w:bidi="en-US"/>
                          </w:rPr>
                        </w:pPr>
                        <w:r>
                          <w:rPr>
                            <w:rFonts w:asciiTheme="minorHAnsi" w:hAnsiTheme="minorHAnsi" w:cstheme="minorHAnsi"/>
                            <w:color w:val="000000"/>
                            <w:sz w:val="18"/>
                            <w:szCs w:val="18"/>
                            <w:lang w:bidi="en-US"/>
                          </w:rPr>
                          <w:t>35</w:t>
                        </w:r>
                      </w:p>
                    </w:tc>
                    <w:tc>
                      <w:tcPr>
                        <w:tcW w:w="1701" w:type="dxa"/>
                      </w:tcPr>
                      <w:p w14:paraId="18F484FF" w14:textId="682B3D5B" w:rsidR="00742765" w:rsidRPr="000D62C9" w:rsidRDefault="00BC25D7" w:rsidP="00846EEE">
                        <w:pPr>
                          <w:pStyle w:val="DecimalAligned"/>
                          <w:tabs>
                            <w:tab w:val="clear" w:pos="360"/>
                            <w:tab w:val="left" w:pos="352"/>
                          </w:tabs>
                          <w:spacing w:after="0" w:line="240" w:lineRule="auto"/>
                          <w:jc w:val="right"/>
                          <w:rPr>
                            <w:rFonts w:asciiTheme="minorHAnsi" w:hAnsiTheme="minorHAnsi" w:cstheme="minorHAnsi"/>
                            <w:color w:val="000000"/>
                            <w:sz w:val="18"/>
                            <w:szCs w:val="18"/>
                            <w:lang w:bidi="en-US"/>
                          </w:rPr>
                        </w:pPr>
                        <w:r w:rsidRPr="000D62C9">
                          <w:rPr>
                            <w:rFonts w:asciiTheme="minorHAnsi" w:hAnsiTheme="minorHAnsi" w:cstheme="minorHAnsi"/>
                            <w:color w:val="000000"/>
                            <w:sz w:val="18"/>
                            <w:szCs w:val="18"/>
                            <w:lang w:bidi="en-US"/>
                          </w:rPr>
                          <w:t>35</w:t>
                        </w:r>
                      </w:p>
                    </w:tc>
                    <w:tc>
                      <w:tcPr>
                        <w:tcW w:w="1701" w:type="dxa"/>
                      </w:tcPr>
                      <w:p w14:paraId="779EF689" w14:textId="38922C08" w:rsidR="00742765" w:rsidRPr="000D62C9" w:rsidRDefault="00742765" w:rsidP="00846EEE">
                        <w:pPr>
                          <w:pStyle w:val="DecimalAligned"/>
                          <w:tabs>
                            <w:tab w:val="clear" w:pos="360"/>
                            <w:tab w:val="left" w:pos="352"/>
                          </w:tabs>
                          <w:spacing w:after="0" w:line="240" w:lineRule="auto"/>
                          <w:jc w:val="right"/>
                          <w:rPr>
                            <w:rFonts w:asciiTheme="minorHAnsi" w:hAnsiTheme="minorHAnsi" w:cstheme="minorHAnsi"/>
                            <w:color w:val="000000"/>
                            <w:sz w:val="18"/>
                            <w:szCs w:val="18"/>
                            <w:lang w:bidi="en-US"/>
                          </w:rPr>
                        </w:pPr>
                        <w:r w:rsidRPr="000D62C9">
                          <w:rPr>
                            <w:rFonts w:asciiTheme="minorHAnsi" w:hAnsiTheme="minorHAnsi" w:cstheme="minorHAnsi"/>
                            <w:sz w:val="18"/>
                            <w:szCs w:val="18"/>
                            <w:lang w:eastAsia="en-US" w:bidi="en-US"/>
                          </w:rPr>
                          <w:t>74</w:t>
                        </w:r>
                      </w:p>
                    </w:tc>
                  </w:tr>
                  <w:tr w:rsidR="00BC25D7" w:rsidRPr="00551D5A" w14:paraId="4189B212" w14:textId="77777777" w:rsidTr="00997EF7">
                    <w:trPr>
                      <w:trHeight w:val="205"/>
                    </w:trPr>
                    <w:tc>
                      <w:tcPr>
                        <w:tcW w:w="4290" w:type="dxa"/>
                      </w:tcPr>
                      <w:p w14:paraId="266D3784" w14:textId="575A8792" w:rsidR="00BC25D7" w:rsidRPr="00551D5A" w:rsidRDefault="00BC25D7" w:rsidP="00997EF7">
                        <w:pPr>
                          <w:pStyle w:val="DecimalAligned"/>
                          <w:tabs>
                            <w:tab w:val="clear" w:pos="360"/>
                            <w:tab w:val="left" w:pos="352"/>
                          </w:tabs>
                          <w:spacing w:after="0" w:line="240" w:lineRule="auto"/>
                          <w:ind w:left="-210" w:firstLine="142"/>
                          <w:rPr>
                            <w:rFonts w:asciiTheme="minorHAnsi" w:hAnsiTheme="minorHAnsi" w:cstheme="minorHAnsi"/>
                            <w:sz w:val="18"/>
                            <w:szCs w:val="18"/>
                            <w:lang w:eastAsia="en-US" w:bidi="en-US"/>
                          </w:rPr>
                        </w:pPr>
                        <w:r w:rsidRPr="00551D5A">
                          <w:rPr>
                            <w:rFonts w:asciiTheme="minorHAnsi" w:hAnsiTheme="minorHAnsi" w:cstheme="minorHAnsi"/>
                            <w:sz w:val="18"/>
                            <w:szCs w:val="18"/>
                            <w:lang w:eastAsia="en-US" w:bidi="en-US"/>
                          </w:rPr>
                          <w:t xml:space="preserve">Payments </w:t>
                        </w:r>
                        <w:r w:rsidR="00D55C98">
                          <w:rPr>
                            <w:rFonts w:asciiTheme="minorHAnsi" w:hAnsiTheme="minorHAnsi" w:cstheme="minorHAnsi"/>
                            <w:sz w:val="18"/>
                            <w:szCs w:val="18"/>
                            <w:lang w:eastAsia="en-US" w:bidi="en-US"/>
                          </w:rPr>
                          <w:t xml:space="preserve">received </w:t>
                        </w:r>
                        <w:r w:rsidRPr="00551D5A">
                          <w:rPr>
                            <w:rFonts w:asciiTheme="minorHAnsi" w:hAnsiTheme="minorHAnsi" w:cstheme="minorHAnsi"/>
                            <w:sz w:val="18"/>
                            <w:szCs w:val="18"/>
                            <w:lang w:eastAsia="en-US" w:bidi="en-US"/>
                          </w:rPr>
                          <w:t>on interest hedging instruments</w:t>
                        </w:r>
                      </w:p>
                    </w:tc>
                    <w:tc>
                      <w:tcPr>
                        <w:tcW w:w="1701" w:type="dxa"/>
                      </w:tcPr>
                      <w:p w14:paraId="46F78497" w14:textId="0517623F" w:rsidR="00BC25D7" w:rsidRPr="00846EEE" w:rsidRDefault="000D62C9" w:rsidP="00846EEE">
                        <w:pPr>
                          <w:pStyle w:val="DecimalAligned"/>
                          <w:tabs>
                            <w:tab w:val="clear" w:pos="360"/>
                            <w:tab w:val="left" w:pos="352"/>
                          </w:tabs>
                          <w:spacing w:after="0" w:line="240" w:lineRule="auto"/>
                          <w:jc w:val="right"/>
                          <w:rPr>
                            <w:rFonts w:asciiTheme="minorHAnsi" w:hAnsiTheme="minorHAnsi" w:cstheme="minorHAnsi"/>
                            <w:color w:val="000000"/>
                            <w:sz w:val="18"/>
                            <w:szCs w:val="18"/>
                            <w:lang w:bidi="en-US"/>
                          </w:rPr>
                        </w:pPr>
                        <w:r>
                          <w:rPr>
                            <w:rFonts w:asciiTheme="minorHAnsi" w:hAnsiTheme="minorHAnsi" w:cstheme="minorHAnsi"/>
                            <w:color w:val="000000"/>
                            <w:sz w:val="18"/>
                            <w:szCs w:val="18"/>
                            <w:lang w:bidi="en-US"/>
                          </w:rPr>
                          <w:t>(137)</w:t>
                        </w:r>
                      </w:p>
                    </w:tc>
                    <w:tc>
                      <w:tcPr>
                        <w:tcW w:w="1701" w:type="dxa"/>
                      </w:tcPr>
                      <w:p w14:paraId="20A67331" w14:textId="17663F63" w:rsidR="00BC25D7" w:rsidRPr="000D62C9" w:rsidRDefault="000D62C9" w:rsidP="00846EEE">
                        <w:pPr>
                          <w:pStyle w:val="DecimalAligned"/>
                          <w:tabs>
                            <w:tab w:val="clear" w:pos="360"/>
                            <w:tab w:val="left" w:pos="352"/>
                          </w:tabs>
                          <w:spacing w:after="0" w:line="240" w:lineRule="auto"/>
                          <w:jc w:val="right"/>
                          <w:rPr>
                            <w:rFonts w:asciiTheme="minorHAnsi" w:hAnsiTheme="minorHAnsi" w:cstheme="minorHAnsi"/>
                            <w:color w:val="000000"/>
                            <w:sz w:val="18"/>
                            <w:szCs w:val="18"/>
                            <w:lang w:bidi="en-US"/>
                          </w:rPr>
                        </w:pPr>
                        <w:r>
                          <w:rPr>
                            <w:rFonts w:asciiTheme="minorHAnsi" w:hAnsiTheme="minorHAnsi" w:cstheme="minorHAnsi"/>
                            <w:color w:val="000000"/>
                            <w:sz w:val="18"/>
                            <w:szCs w:val="18"/>
                            <w:lang w:bidi="en-US"/>
                          </w:rPr>
                          <w:t>-</w:t>
                        </w:r>
                      </w:p>
                    </w:tc>
                    <w:tc>
                      <w:tcPr>
                        <w:tcW w:w="1701" w:type="dxa"/>
                      </w:tcPr>
                      <w:p w14:paraId="2C9DEC94" w14:textId="15C8D7D6" w:rsidR="00BC25D7" w:rsidRPr="000D62C9" w:rsidRDefault="000D62C9" w:rsidP="00846EEE">
                        <w:pPr>
                          <w:pStyle w:val="DecimalAligned"/>
                          <w:tabs>
                            <w:tab w:val="clear" w:pos="360"/>
                            <w:tab w:val="left" w:pos="352"/>
                          </w:tabs>
                          <w:spacing w:after="0" w:line="240" w:lineRule="auto"/>
                          <w:jc w:val="right"/>
                          <w:rPr>
                            <w:rFonts w:asciiTheme="minorHAnsi" w:hAnsiTheme="minorHAnsi" w:cstheme="minorHAnsi"/>
                            <w:sz w:val="18"/>
                            <w:szCs w:val="18"/>
                            <w:lang w:eastAsia="en-US" w:bidi="en-US"/>
                          </w:rPr>
                        </w:pPr>
                        <w:r>
                          <w:rPr>
                            <w:rFonts w:asciiTheme="minorHAnsi" w:hAnsiTheme="minorHAnsi" w:cstheme="minorHAnsi"/>
                            <w:sz w:val="18"/>
                            <w:szCs w:val="18"/>
                            <w:lang w:eastAsia="en-US" w:bidi="en-US"/>
                          </w:rPr>
                          <w:t>-</w:t>
                        </w:r>
                      </w:p>
                    </w:tc>
                  </w:tr>
                  <w:tr w:rsidR="00BC25D7" w:rsidRPr="00551D5A" w14:paraId="160A145D" w14:textId="77777777" w:rsidTr="00997EF7">
                    <w:trPr>
                      <w:trHeight w:val="205"/>
                    </w:trPr>
                    <w:tc>
                      <w:tcPr>
                        <w:tcW w:w="4290" w:type="dxa"/>
                      </w:tcPr>
                      <w:p w14:paraId="539C6AC1" w14:textId="154770B8" w:rsidR="00BC25D7" w:rsidRPr="00551D5A" w:rsidRDefault="00BC25D7" w:rsidP="00997EF7">
                        <w:pPr>
                          <w:pStyle w:val="DecimalAligned"/>
                          <w:tabs>
                            <w:tab w:val="clear" w:pos="360"/>
                            <w:tab w:val="left" w:pos="352"/>
                          </w:tabs>
                          <w:spacing w:after="0" w:line="240" w:lineRule="auto"/>
                          <w:ind w:left="-210" w:firstLine="142"/>
                          <w:rPr>
                            <w:rFonts w:asciiTheme="minorHAnsi" w:hAnsiTheme="minorHAnsi" w:cstheme="minorHAnsi"/>
                            <w:sz w:val="18"/>
                            <w:szCs w:val="18"/>
                            <w:lang w:eastAsia="en-US" w:bidi="en-US"/>
                          </w:rPr>
                        </w:pPr>
                        <w:r w:rsidRPr="00551D5A">
                          <w:rPr>
                            <w:rFonts w:asciiTheme="minorHAnsi" w:hAnsiTheme="minorHAnsi" w:cstheme="minorHAnsi"/>
                            <w:sz w:val="18"/>
                            <w:szCs w:val="18"/>
                            <w:lang w:eastAsia="en-US" w:bidi="en-US"/>
                          </w:rPr>
                          <w:t>Foreign exchange in respect of lease liabilities</w:t>
                        </w:r>
                      </w:p>
                    </w:tc>
                    <w:tc>
                      <w:tcPr>
                        <w:tcW w:w="1701" w:type="dxa"/>
                      </w:tcPr>
                      <w:p w14:paraId="32B84269" w14:textId="3467AB58" w:rsidR="00BC25D7" w:rsidRPr="00846EEE" w:rsidRDefault="000D62C9" w:rsidP="00846EEE">
                        <w:pPr>
                          <w:pStyle w:val="DecimalAligned"/>
                          <w:tabs>
                            <w:tab w:val="clear" w:pos="360"/>
                            <w:tab w:val="left" w:pos="352"/>
                          </w:tabs>
                          <w:spacing w:after="0" w:line="240" w:lineRule="auto"/>
                          <w:jc w:val="right"/>
                          <w:rPr>
                            <w:rFonts w:asciiTheme="minorHAnsi" w:hAnsiTheme="minorHAnsi" w:cstheme="minorHAnsi"/>
                            <w:color w:val="000000"/>
                            <w:sz w:val="18"/>
                            <w:szCs w:val="18"/>
                            <w:lang w:bidi="en-US"/>
                          </w:rPr>
                        </w:pPr>
                        <w:r>
                          <w:rPr>
                            <w:rFonts w:asciiTheme="minorHAnsi" w:hAnsiTheme="minorHAnsi" w:cstheme="minorHAnsi"/>
                            <w:color w:val="000000"/>
                            <w:sz w:val="18"/>
                            <w:szCs w:val="18"/>
                            <w:lang w:bidi="en-US"/>
                          </w:rPr>
                          <w:t>8</w:t>
                        </w:r>
                      </w:p>
                    </w:tc>
                    <w:tc>
                      <w:tcPr>
                        <w:tcW w:w="1701" w:type="dxa"/>
                      </w:tcPr>
                      <w:p w14:paraId="61D876E1" w14:textId="7A5CCC05" w:rsidR="00BC25D7" w:rsidRPr="000D62C9" w:rsidRDefault="00BC25D7" w:rsidP="00846EEE">
                        <w:pPr>
                          <w:pStyle w:val="DecimalAligned"/>
                          <w:tabs>
                            <w:tab w:val="clear" w:pos="360"/>
                            <w:tab w:val="left" w:pos="352"/>
                          </w:tabs>
                          <w:spacing w:after="0" w:line="240" w:lineRule="auto"/>
                          <w:jc w:val="right"/>
                          <w:rPr>
                            <w:rFonts w:asciiTheme="minorHAnsi" w:hAnsiTheme="minorHAnsi" w:cstheme="minorHAnsi"/>
                            <w:color w:val="000000"/>
                            <w:sz w:val="18"/>
                            <w:szCs w:val="18"/>
                            <w:lang w:bidi="en-US"/>
                          </w:rPr>
                        </w:pPr>
                        <w:r w:rsidRPr="000D62C9">
                          <w:rPr>
                            <w:rFonts w:asciiTheme="minorHAnsi" w:hAnsiTheme="minorHAnsi" w:cstheme="minorHAnsi"/>
                            <w:color w:val="000000"/>
                            <w:sz w:val="18"/>
                            <w:szCs w:val="18"/>
                            <w:lang w:bidi="en-US"/>
                          </w:rPr>
                          <w:t>(4)</w:t>
                        </w:r>
                      </w:p>
                    </w:tc>
                    <w:tc>
                      <w:tcPr>
                        <w:tcW w:w="1701" w:type="dxa"/>
                      </w:tcPr>
                      <w:p w14:paraId="4855938B" w14:textId="2340CE9C" w:rsidR="00BC25D7" w:rsidRPr="000D62C9" w:rsidRDefault="004074D8" w:rsidP="00846EEE">
                        <w:pPr>
                          <w:pStyle w:val="DecimalAligned"/>
                          <w:tabs>
                            <w:tab w:val="clear" w:pos="360"/>
                            <w:tab w:val="left" w:pos="352"/>
                          </w:tabs>
                          <w:spacing w:after="0" w:line="240" w:lineRule="auto"/>
                          <w:jc w:val="right"/>
                          <w:rPr>
                            <w:rFonts w:asciiTheme="minorHAnsi" w:hAnsiTheme="minorHAnsi" w:cstheme="minorHAnsi"/>
                            <w:sz w:val="18"/>
                            <w:szCs w:val="18"/>
                            <w:lang w:eastAsia="en-US" w:bidi="en-US"/>
                          </w:rPr>
                        </w:pPr>
                        <w:r>
                          <w:rPr>
                            <w:rFonts w:asciiTheme="minorHAnsi" w:hAnsiTheme="minorHAnsi" w:cstheme="minorHAnsi"/>
                            <w:sz w:val="18"/>
                            <w:szCs w:val="18"/>
                            <w:lang w:eastAsia="en-US" w:bidi="en-US"/>
                          </w:rPr>
                          <w:t>(11)</w:t>
                        </w:r>
                      </w:p>
                    </w:tc>
                  </w:tr>
                  <w:tr w:rsidR="00742765" w:rsidRPr="00551D5A" w14:paraId="1A2B532A" w14:textId="77777777" w:rsidTr="00997EF7">
                    <w:trPr>
                      <w:trHeight w:val="141"/>
                    </w:trPr>
                    <w:tc>
                      <w:tcPr>
                        <w:tcW w:w="4290" w:type="dxa"/>
                        <w:tcBorders>
                          <w:bottom w:val="single" w:sz="4" w:space="0" w:color="auto"/>
                        </w:tcBorders>
                      </w:tcPr>
                      <w:p w14:paraId="6D11AF47" w14:textId="562FE9F6" w:rsidR="00742765" w:rsidRPr="00846EEE" w:rsidRDefault="00742765" w:rsidP="00997EF7">
                        <w:pPr>
                          <w:pStyle w:val="DecimalAligned"/>
                          <w:tabs>
                            <w:tab w:val="clear" w:pos="360"/>
                            <w:tab w:val="left" w:pos="352"/>
                          </w:tabs>
                          <w:spacing w:after="0" w:line="240" w:lineRule="auto"/>
                          <w:ind w:left="-210" w:firstLine="142"/>
                          <w:rPr>
                            <w:rFonts w:asciiTheme="minorHAnsi" w:hAnsiTheme="minorHAnsi" w:cstheme="minorHAnsi"/>
                            <w:b/>
                            <w:bCs/>
                            <w:color w:val="000000"/>
                            <w:sz w:val="18"/>
                            <w:szCs w:val="18"/>
                            <w:lang w:bidi="en-US"/>
                          </w:rPr>
                        </w:pPr>
                        <w:r w:rsidRPr="00551D5A">
                          <w:rPr>
                            <w:rFonts w:asciiTheme="minorHAnsi" w:hAnsiTheme="minorHAnsi" w:cstheme="minorHAnsi"/>
                            <w:sz w:val="18"/>
                            <w:szCs w:val="18"/>
                            <w:lang w:eastAsia="en-US" w:bidi="en-US"/>
                          </w:rPr>
                          <w:t>Other interest payable and similar charges</w:t>
                        </w:r>
                      </w:p>
                    </w:tc>
                    <w:tc>
                      <w:tcPr>
                        <w:tcW w:w="1701" w:type="dxa"/>
                        <w:tcBorders>
                          <w:bottom w:val="single" w:sz="4" w:space="0" w:color="auto"/>
                        </w:tcBorders>
                      </w:tcPr>
                      <w:p w14:paraId="5A7E22B0" w14:textId="1A84B80B" w:rsidR="00742765" w:rsidRPr="00846EEE" w:rsidRDefault="000D62C9" w:rsidP="00846EEE">
                        <w:pPr>
                          <w:pStyle w:val="DecimalAligned"/>
                          <w:tabs>
                            <w:tab w:val="clear" w:pos="360"/>
                            <w:tab w:val="left" w:pos="352"/>
                          </w:tabs>
                          <w:spacing w:after="0" w:line="240" w:lineRule="auto"/>
                          <w:jc w:val="right"/>
                          <w:rPr>
                            <w:rFonts w:asciiTheme="minorHAnsi" w:hAnsiTheme="minorHAnsi" w:cstheme="minorHAnsi"/>
                            <w:color w:val="000000"/>
                            <w:sz w:val="18"/>
                            <w:szCs w:val="18"/>
                            <w:lang w:bidi="en-US"/>
                          </w:rPr>
                        </w:pPr>
                        <w:r>
                          <w:rPr>
                            <w:rFonts w:asciiTheme="minorHAnsi" w:hAnsiTheme="minorHAnsi" w:cstheme="minorHAnsi"/>
                            <w:color w:val="000000"/>
                            <w:sz w:val="18"/>
                            <w:szCs w:val="18"/>
                            <w:lang w:bidi="en-US"/>
                          </w:rPr>
                          <w:t>65</w:t>
                        </w:r>
                      </w:p>
                    </w:tc>
                    <w:tc>
                      <w:tcPr>
                        <w:tcW w:w="1701" w:type="dxa"/>
                        <w:tcBorders>
                          <w:bottom w:val="single" w:sz="4" w:space="0" w:color="auto"/>
                        </w:tcBorders>
                      </w:tcPr>
                      <w:p w14:paraId="3405A95B" w14:textId="5C3448DD" w:rsidR="00742765" w:rsidRPr="000D62C9" w:rsidRDefault="00BC25D7" w:rsidP="00846EEE">
                        <w:pPr>
                          <w:pStyle w:val="DecimalAligned"/>
                          <w:tabs>
                            <w:tab w:val="clear" w:pos="360"/>
                            <w:tab w:val="left" w:pos="352"/>
                          </w:tabs>
                          <w:spacing w:after="0" w:line="240" w:lineRule="auto"/>
                          <w:jc w:val="right"/>
                          <w:rPr>
                            <w:rFonts w:asciiTheme="minorHAnsi" w:hAnsiTheme="minorHAnsi" w:cstheme="minorHAnsi"/>
                            <w:color w:val="000000"/>
                            <w:sz w:val="18"/>
                            <w:szCs w:val="18"/>
                            <w:lang w:bidi="en-US"/>
                          </w:rPr>
                        </w:pPr>
                        <w:r w:rsidRPr="000D62C9">
                          <w:rPr>
                            <w:rFonts w:asciiTheme="minorHAnsi" w:hAnsiTheme="minorHAnsi" w:cstheme="minorHAnsi"/>
                            <w:color w:val="000000"/>
                            <w:sz w:val="18"/>
                            <w:szCs w:val="18"/>
                            <w:lang w:bidi="en-US"/>
                          </w:rPr>
                          <w:t>(2)</w:t>
                        </w:r>
                      </w:p>
                    </w:tc>
                    <w:tc>
                      <w:tcPr>
                        <w:tcW w:w="1701" w:type="dxa"/>
                        <w:tcBorders>
                          <w:bottom w:val="single" w:sz="4" w:space="0" w:color="auto"/>
                        </w:tcBorders>
                      </w:tcPr>
                      <w:p w14:paraId="583EE5B8" w14:textId="19267C7A" w:rsidR="00742765" w:rsidRPr="000D62C9" w:rsidRDefault="00742765" w:rsidP="00846EEE">
                        <w:pPr>
                          <w:pStyle w:val="DecimalAligned"/>
                          <w:tabs>
                            <w:tab w:val="clear" w:pos="360"/>
                            <w:tab w:val="left" w:pos="352"/>
                          </w:tabs>
                          <w:spacing w:after="0" w:line="240" w:lineRule="auto"/>
                          <w:jc w:val="right"/>
                          <w:rPr>
                            <w:rFonts w:asciiTheme="minorHAnsi" w:hAnsiTheme="minorHAnsi" w:cstheme="minorHAnsi"/>
                            <w:color w:val="000000"/>
                            <w:sz w:val="18"/>
                            <w:szCs w:val="18"/>
                            <w:lang w:bidi="en-US"/>
                          </w:rPr>
                        </w:pPr>
                        <w:r w:rsidRPr="000D62C9">
                          <w:rPr>
                            <w:rFonts w:asciiTheme="minorHAnsi" w:hAnsiTheme="minorHAnsi" w:cstheme="minorHAnsi"/>
                            <w:sz w:val="18"/>
                            <w:szCs w:val="18"/>
                            <w:lang w:eastAsia="en-US" w:bidi="en-US"/>
                          </w:rPr>
                          <w:t>75</w:t>
                        </w:r>
                      </w:p>
                    </w:tc>
                  </w:tr>
                  <w:tr w:rsidR="00742765" w:rsidRPr="00551D5A" w14:paraId="15708EA5" w14:textId="77777777" w:rsidTr="00997EF7">
                    <w:trPr>
                      <w:trHeight w:val="130"/>
                    </w:trPr>
                    <w:tc>
                      <w:tcPr>
                        <w:tcW w:w="4290" w:type="dxa"/>
                        <w:tcBorders>
                          <w:top w:val="single" w:sz="4" w:space="0" w:color="auto"/>
                          <w:bottom w:val="double" w:sz="4" w:space="0" w:color="auto"/>
                        </w:tcBorders>
                      </w:tcPr>
                      <w:p w14:paraId="0B223F96" w14:textId="59428DA9" w:rsidR="00742765" w:rsidRPr="00846EEE" w:rsidRDefault="00742765" w:rsidP="00997EF7">
                        <w:pPr>
                          <w:spacing w:after="0" w:line="240" w:lineRule="auto"/>
                          <w:ind w:left="-210" w:firstLine="142"/>
                          <w:jc w:val="both"/>
                          <w:rPr>
                            <w:rFonts w:asciiTheme="minorHAnsi" w:hAnsiTheme="minorHAnsi" w:cstheme="minorHAnsi"/>
                            <w:b/>
                            <w:bCs/>
                            <w:color w:val="000000"/>
                            <w:sz w:val="18"/>
                            <w:szCs w:val="18"/>
                          </w:rPr>
                        </w:pPr>
                        <w:r w:rsidRPr="00846EEE">
                          <w:rPr>
                            <w:rFonts w:asciiTheme="minorHAnsi" w:hAnsiTheme="minorHAnsi" w:cstheme="minorHAnsi"/>
                            <w:b/>
                            <w:bCs/>
                            <w:color w:val="000000"/>
                            <w:sz w:val="18"/>
                            <w:szCs w:val="18"/>
                            <w:lang w:val="en-US"/>
                          </w:rPr>
                          <w:t>Total finance cost</w:t>
                        </w:r>
                      </w:p>
                    </w:tc>
                    <w:tc>
                      <w:tcPr>
                        <w:tcW w:w="1701" w:type="dxa"/>
                        <w:tcBorders>
                          <w:top w:val="single" w:sz="4" w:space="0" w:color="auto"/>
                          <w:bottom w:val="double" w:sz="4" w:space="0" w:color="auto"/>
                        </w:tcBorders>
                      </w:tcPr>
                      <w:p w14:paraId="3BEE225A" w14:textId="709533CB" w:rsidR="00742765" w:rsidRPr="00846EEE" w:rsidRDefault="000D62C9" w:rsidP="00846EEE">
                        <w:pPr>
                          <w:spacing w:after="0" w:line="240" w:lineRule="auto"/>
                          <w:jc w:val="right"/>
                          <w:rPr>
                            <w:rFonts w:asciiTheme="minorHAnsi" w:hAnsiTheme="minorHAnsi" w:cstheme="minorHAnsi"/>
                            <w:color w:val="000000"/>
                            <w:sz w:val="18"/>
                            <w:szCs w:val="18"/>
                          </w:rPr>
                        </w:pPr>
                        <w:r>
                          <w:rPr>
                            <w:rFonts w:asciiTheme="minorHAnsi" w:hAnsiTheme="minorHAnsi" w:cstheme="minorHAnsi"/>
                            <w:color w:val="000000"/>
                            <w:sz w:val="18"/>
                            <w:szCs w:val="18"/>
                            <w:lang w:val="en-US"/>
                          </w:rPr>
                          <w:t>711</w:t>
                        </w:r>
                      </w:p>
                    </w:tc>
                    <w:tc>
                      <w:tcPr>
                        <w:tcW w:w="1701" w:type="dxa"/>
                        <w:tcBorders>
                          <w:top w:val="single" w:sz="4" w:space="0" w:color="auto"/>
                          <w:bottom w:val="double" w:sz="4" w:space="0" w:color="auto"/>
                        </w:tcBorders>
                      </w:tcPr>
                      <w:p w14:paraId="39A8ADC3" w14:textId="633265DB" w:rsidR="00742765" w:rsidRPr="000D62C9" w:rsidRDefault="00BC25D7" w:rsidP="00846EEE">
                        <w:pPr>
                          <w:spacing w:after="0" w:line="240" w:lineRule="auto"/>
                          <w:jc w:val="right"/>
                          <w:rPr>
                            <w:rFonts w:asciiTheme="minorHAnsi" w:hAnsiTheme="minorHAnsi" w:cstheme="minorHAnsi"/>
                            <w:color w:val="000000"/>
                            <w:sz w:val="18"/>
                            <w:szCs w:val="18"/>
                          </w:rPr>
                        </w:pPr>
                        <w:r w:rsidRPr="000D62C9">
                          <w:rPr>
                            <w:rFonts w:asciiTheme="minorHAnsi" w:hAnsiTheme="minorHAnsi" w:cstheme="minorHAnsi"/>
                            <w:color w:val="000000"/>
                            <w:sz w:val="18"/>
                            <w:szCs w:val="18"/>
                            <w:lang w:val="en-US"/>
                          </w:rPr>
                          <w:t>361</w:t>
                        </w:r>
                      </w:p>
                    </w:tc>
                    <w:tc>
                      <w:tcPr>
                        <w:tcW w:w="1701" w:type="dxa"/>
                        <w:tcBorders>
                          <w:top w:val="single" w:sz="4" w:space="0" w:color="auto"/>
                          <w:bottom w:val="double" w:sz="4" w:space="0" w:color="auto"/>
                        </w:tcBorders>
                      </w:tcPr>
                      <w:p w14:paraId="171EEE3B" w14:textId="3C6C0388" w:rsidR="00742765" w:rsidRPr="000D62C9" w:rsidRDefault="00742765" w:rsidP="00846EEE">
                        <w:pPr>
                          <w:spacing w:after="0" w:line="240" w:lineRule="auto"/>
                          <w:jc w:val="right"/>
                          <w:rPr>
                            <w:rFonts w:asciiTheme="minorHAnsi" w:hAnsiTheme="minorHAnsi" w:cstheme="minorHAnsi"/>
                            <w:color w:val="000000"/>
                            <w:sz w:val="18"/>
                            <w:szCs w:val="18"/>
                          </w:rPr>
                        </w:pPr>
                        <w:r w:rsidRPr="000D62C9">
                          <w:rPr>
                            <w:rFonts w:asciiTheme="minorHAnsi" w:hAnsiTheme="minorHAnsi" w:cstheme="minorHAnsi"/>
                            <w:color w:val="000000"/>
                            <w:sz w:val="18"/>
                            <w:szCs w:val="18"/>
                            <w:lang w:val="en-US"/>
                          </w:rPr>
                          <w:t>842</w:t>
                        </w:r>
                      </w:p>
                    </w:tc>
                  </w:tr>
                </w:tbl>
                <w:p w14:paraId="57F22E7F" w14:textId="61276AFD" w:rsidR="00742765" w:rsidRPr="00846EEE" w:rsidRDefault="00742765" w:rsidP="00BC25D7">
                  <w:pPr>
                    <w:pStyle w:val="DecimalAligned"/>
                    <w:tabs>
                      <w:tab w:val="clear" w:pos="360"/>
                      <w:tab w:val="left" w:pos="352"/>
                    </w:tabs>
                    <w:spacing w:after="0" w:line="240" w:lineRule="auto"/>
                    <w:rPr>
                      <w:rFonts w:asciiTheme="minorHAnsi" w:hAnsiTheme="minorHAnsi" w:cstheme="minorHAnsi"/>
                      <w:b/>
                      <w:bCs/>
                      <w:color w:val="000000"/>
                      <w:sz w:val="18"/>
                      <w:szCs w:val="18"/>
                      <w:lang w:bidi="en-US"/>
                    </w:rPr>
                  </w:pPr>
                </w:p>
                <w:p w14:paraId="65003BDA" w14:textId="77777777" w:rsidR="00530DF1" w:rsidRPr="00846EEE" w:rsidRDefault="00530DF1" w:rsidP="0047121F">
                  <w:pPr>
                    <w:widowControl w:val="0"/>
                    <w:tabs>
                      <w:tab w:val="left" w:pos="464"/>
                    </w:tabs>
                    <w:autoSpaceDE w:val="0"/>
                    <w:autoSpaceDN w:val="0"/>
                    <w:adjustRightInd w:val="0"/>
                    <w:spacing w:after="0" w:line="240" w:lineRule="auto"/>
                    <w:jc w:val="both"/>
                    <w:rPr>
                      <w:rFonts w:asciiTheme="minorHAnsi" w:hAnsiTheme="minorHAnsi" w:cstheme="minorHAnsi"/>
                      <w:bCs/>
                      <w:color w:val="000000"/>
                      <w:sz w:val="18"/>
                      <w:szCs w:val="18"/>
                      <w:lang w:val="en-US" w:bidi="en-US"/>
                    </w:rPr>
                  </w:pPr>
                </w:p>
                <w:p w14:paraId="5504FAA1" w14:textId="77777777" w:rsidR="0083324A" w:rsidRPr="00846EEE" w:rsidRDefault="0083324A" w:rsidP="0047121F">
                  <w:pPr>
                    <w:pStyle w:val="DecimalAligned"/>
                    <w:numPr>
                      <w:ilvl w:val="0"/>
                      <w:numId w:val="1"/>
                    </w:numPr>
                    <w:tabs>
                      <w:tab w:val="clear" w:pos="360"/>
                      <w:tab w:val="left" w:pos="352"/>
                    </w:tabs>
                    <w:spacing w:after="0" w:line="240" w:lineRule="auto"/>
                    <w:ind w:hanging="720"/>
                    <w:rPr>
                      <w:rFonts w:asciiTheme="minorHAnsi" w:hAnsiTheme="minorHAnsi" w:cstheme="minorHAnsi"/>
                      <w:b/>
                      <w:color w:val="000000"/>
                      <w:sz w:val="18"/>
                      <w:szCs w:val="18"/>
                      <w:lang w:bidi="en-US"/>
                    </w:rPr>
                  </w:pPr>
                  <w:r w:rsidRPr="00846EEE">
                    <w:rPr>
                      <w:rFonts w:asciiTheme="minorHAnsi" w:hAnsiTheme="minorHAnsi" w:cstheme="minorHAnsi"/>
                      <w:b/>
                      <w:color w:val="000000"/>
                      <w:sz w:val="18"/>
                      <w:szCs w:val="18"/>
                      <w:lang w:bidi="en-US"/>
                    </w:rPr>
                    <w:t xml:space="preserve">Earnings per </w:t>
                  </w:r>
                  <w:r w:rsidR="000D1FC4" w:rsidRPr="00846EEE">
                    <w:rPr>
                      <w:rFonts w:asciiTheme="minorHAnsi" w:hAnsiTheme="minorHAnsi" w:cstheme="minorHAnsi"/>
                      <w:b/>
                      <w:color w:val="000000"/>
                      <w:sz w:val="18"/>
                      <w:szCs w:val="18"/>
                      <w:lang w:bidi="en-US"/>
                    </w:rPr>
                    <w:t>S</w:t>
                  </w:r>
                  <w:r w:rsidRPr="00846EEE">
                    <w:rPr>
                      <w:rFonts w:asciiTheme="minorHAnsi" w:hAnsiTheme="minorHAnsi" w:cstheme="minorHAnsi"/>
                      <w:b/>
                      <w:color w:val="000000"/>
                      <w:sz w:val="18"/>
                      <w:szCs w:val="18"/>
                      <w:lang w:bidi="en-US"/>
                    </w:rPr>
                    <w:t>hare</w:t>
                  </w:r>
                </w:p>
                <w:p w14:paraId="3B0FC390" w14:textId="77777777" w:rsidR="002D0909" w:rsidRPr="00846EEE" w:rsidRDefault="002D0909" w:rsidP="0047121F">
                  <w:pPr>
                    <w:widowControl w:val="0"/>
                    <w:tabs>
                      <w:tab w:val="left" w:pos="464"/>
                    </w:tabs>
                    <w:autoSpaceDE w:val="0"/>
                    <w:autoSpaceDN w:val="0"/>
                    <w:adjustRightInd w:val="0"/>
                    <w:spacing w:after="0" w:line="240" w:lineRule="auto"/>
                    <w:jc w:val="both"/>
                    <w:rPr>
                      <w:rFonts w:asciiTheme="minorHAnsi" w:hAnsiTheme="minorHAnsi" w:cstheme="minorHAnsi"/>
                      <w:bCs/>
                      <w:color w:val="000000"/>
                      <w:sz w:val="18"/>
                      <w:szCs w:val="18"/>
                      <w:lang w:val="en-US" w:bidi="en-US"/>
                    </w:rPr>
                  </w:pPr>
                </w:p>
                <w:p w14:paraId="49087E84" w14:textId="77777777" w:rsidR="00BC25D7" w:rsidRPr="00551D5A" w:rsidRDefault="00BC25D7" w:rsidP="00BC25D7">
                  <w:pPr>
                    <w:pStyle w:val="Body"/>
                    <w:tabs>
                      <w:tab w:val="left" w:pos="284"/>
                    </w:tabs>
                    <w:spacing w:before="0" w:after="0" w:line="240" w:lineRule="auto"/>
                    <w:ind w:left="0"/>
                    <w:jc w:val="both"/>
                    <w:rPr>
                      <w:rFonts w:asciiTheme="minorHAnsi" w:hAnsiTheme="minorHAnsi" w:cstheme="minorHAnsi"/>
                      <w:color w:val="auto"/>
                      <w:sz w:val="18"/>
                      <w:szCs w:val="18"/>
                    </w:rPr>
                  </w:pPr>
                  <w:r w:rsidRPr="00551D5A">
                    <w:rPr>
                      <w:rFonts w:asciiTheme="minorHAnsi" w:hAnsiTheme="minorHAnsi" w:cstheme="minorHAnsi"/>
                      <w:color w:val="auto"/>
                      <w:sz w:val="18"/>
                      <w:szCs w:val="18"/>
                    </w:rPr>
                    <w:t>Basic earnings per share is calculated by dividing the net income for the period attributable to ordinary equity holders by the</w:t>
                  </w:r>
                  <w:r w:rsidRPr="00551D5A">
                    <w:rPr>
                      <w:rFonts w:asciiTheme="minorHAnsi" w:hAnsiTheme="minorHAnsi" w:cstheme="minorHAnsi"/>
                      <w:color w:val="auto"/>
                      <w:sz w:val="18"/>
                      <w:szCs w:val="18"/>
                      <w:lang w:val="en-GB"/>
                    </w:rPr>
                    <w:t xml:space="preserve"> </w:t>
                  </w:r>
                  <w:r w:rsidRPr="00551D5A">
                    <w:rPr>
                      <w:rFonts w:asciiTheme="minorHAnsi" w:hAnsiTheme="minorHAnsi" w:cstheme="minorHAnsi"/>
                      <w:color w:val="auto"/>
                      <w:sz w:val="18"/>
                      <w:szCs w:val="18"/>
                    </w:rPr>
                    <w:t>weighted average number of ordinary shares outstanding during the period</w:t>
                  </w:r>
                  <w:bookmarkStart w:id="15" w:name="_Hlk83112425"/>
                  <w:r w:rsidRPr="00551D5A">
                    <w:rPr>
                      <w:rFonts w:asciiTheme="minorHAnsi" w:hAnsiTheme="minorHAnsi" w:cstheme="minorHAnsi"/>
                      <w:color w:val="auto"/>
                      <w:sz w:val="18"/>
                      <w:szCs w:val="18"/>
                    </w:rPr>
                    <w:t>.</w:t>
                  </w:r>
                  <w:r w:rsidRPr="00551D5A">
                    <w:rPr>
                      <w:rFonts w:asciiTheme="minorHAnsi" w:hAnsiTheme="minorHAnsi" w:cstheme="minorHAnsi"/>
                      <w:color w:val="auto"/>
                      <w:sz w:val="18"/>
                      <w:szCs w:val="18"/>
                      <w:lang w:val="en-GB"/>
                    </w:rPr>
                    <w:t xml:space="preserve"> </w:t>
                  </w:r>
                  <w:r w:rsidRPr="00551D5A">
                    <w:rPr>
                      <w:rFonts w:asciiTheme="minorHAnsi" w:hAnsiTheme="minorHAnsi" w:cstheme="minorHAnsi"/>
                      <w:color w:val="auto"/>
                      <w:sz w:val="18"/>
                      <w:szCs w:val="18"/>
                    </w:rPr>
                    <w:t>Diluted earnings per share amounts are calculated by dividing the profit attributable to owners of the parent by the weighted average number of ordinary shares in issue during the financial year, adjusted for the effects of potentially dilutive options. The dilutive effect is calculated on the full exercise of all potentially dilutive ordinary share options granted by the Group, including performance-based options which the Group considers to have been earned</w:t>
                  </w:r>
                  <w:bookmarkEnd w:id="15"/>
                  <w:r w:rsidRPr="00551D5A">
                    <w:rPr>
                      <w:rFonts w:asciiTheme="minorHAnsi" w:hAnsiTheme="minorHAnsi" w:cstheme="minorHAnsi"/>
                      <w:color w:val="auto"/>
                      <w:sz w:val="18"/>
                      <w:szCs w:val="18"/>
                      <w:lang w:val="en-GB"/>
                    </w:rPr>
                    <w:t xml:space="preserve">. </w:t>
                  </w:r>
                  <w:r w:rsidRPr="00551D5A">
                    <w:rPr>
                      <w:rFonts w:asciiTheme="minorHAnsi" w:hAnsiTheme="minorHAnsi" w:cstheme="minorHAnsi"/>
                      <w:color w:val="auto"/>
                      <w:sz w:val="18"/>
                      <w:szCs w:val="18"/>
                    </w:rPr>
                    <w:t xml:space="preserve">The calculations of earnings per share are based </w:t>
                  </w:r>
                  <w:r w:rsidRPr="00551D5A">
                    <w:rPr>
                      <w:rFonts w:asciiTheme="minorHAnsi" w:hAnsiTheme="minorHAnsi" w:cstheme="minorHAnsi"/>
                      <w:color w:val="auto"/>
                      <w:sz w:val="18"/>
                      <w:szCs w:val="18"/>
                      <w:lang w:val="en-US"/>
                    </w:rPr>
                    <w:t>up</w:t>
                  </w:r>
                  <w:r w:rsidRPr="00551D5A">
                    <w:rPr>
                      <w:rFonts w:asciiTheme="minorHAnsi" w:hAnsiTheme="minorHAnsi" w:cstheme="minorHAnsi"/>
                      <w:color w:val="auto"/>
                      <w:sz w:val="18"/>
                      <w:szCs w:val="18"/>
                    </w:rPr>
                    <w:t>on the following:</w:t>
                  </w:r>
                </w:p>
                <w:p w14:paraId="65EA683D" w14:textId="77777777" w:rsidR="00BC25D7" w:rsidRPr="00551D5A" w:rsidRDefault="00BC25D7" w:rsidP="00BC25D7">
                  <w:pPr>
                    <w:pStyle w:val="Body"/>
                    <w:tabs>
                      <w:tab w:val="left" w:pos="284"/>
                    </w:tabs>
                    <w:spacing w:before="0" w:after="0" w:line="240" w:lineRule="auto"/>
                    <w:ind w:left="0"/>
                    <w:jc w:val="both"/>
                    <w:rPr>
                      <w:rFonts w:asciiTheme="minorHAnsi" w:hAnsiTheme="minorHAnsi" w:cstheme="minorHAnsi"/>
                      <w:color w:val="auto"/>
                      <w:sz w:val="18"/>
                      <w:szCs w:val="18"/>
                    </w:rPr>
                  </w:pPr>
                </w:p>
                <w:tbl>
                  <w:tblPr>
                    <w:tblW w:w="9556" w:type="dxa"/>
                    <w:tblLayout w:type="fixed"/>
                    <w:tblLook w:val="0660" w:firstRow="1" w:lastRow="1" w:firstColumn="0" w:lastColumn="0" w:noHBand="1" w:noVBand="1"/>
                  </w:tblPr>
                  <w:tblGrid>
                    <w:gridCol w:w="4295"/>
                    <w:gridCol w:w="1754"/>
                    <w:gridCol w:w="1754"/>
                    <w:gridCol w:w="1753"/>
                  </w:tblGrid>
                  <w:tr w:rsidR="00E036AA" w:rsidRPr="00551D5A" w14:paraId="3DB13AF7" w14:textId="77777777" w:rsidTr="00997EF7">
                    <w:trPr>
                      <w:trHeight w:val="470"/>
                    </w:trPr>
                    <w:tc>
                      <w:tcPr>
                        <w:tcW w:w="2247" w:type="pct"/>
                        <w:tcBorders>
                          <w:bottom w:val="single" w:sz="4" w:space="0" w:color="auto"/>
                        </w:tcBorders>
                        <w:shd w:val="clear" w:color="auto" w:fill="auto"/>
                      </w:tcPr>
                      <w:p w14:paraId="6CADE7A4" w14:textId="77777777" w:rsidR="00E036AA" w:rsidRPr="00551D5A" w:rsidRDefault="00E036AA" w:rsidP="00E036AA">
                        <w:pPr>
                          <w:pStyle w:val="TableBody"/>
                          <w:tabs>
                            <w:tab w:val="left" w:pos="284"/>
                          </w:tabs>
                          <w:spacing w:line="240" w:lineRule="auto"/>
                          <w:ind w:left="0"/>
                          <w:jc w:val="both"/>
                          <w:rPr>
                            <w:rFonts w:asciiTheme="minorHAnsi" w:eastAsia="Times New Roman" w:hAnsiTheme="minorHAnsi" w:cstheme="minorHAnsi"/>
                            <w:color w:val="auto"/>
                            <w:sz w:val="18"/>
                            <w:szCs w:val="18"/>
                            <w:lang w:val="en-US" w:eastAsia="en-US" w:bidi="en-US"/>
                          </w:rPr>
                        </w:pPr>
                      </w:p>
                    </w:tc>
                    <w:tc>
                      <w:tcPr>
                        <w:tcW w:w="918" w:type="pct"/>
                        <w:tcBorders>
                          <w:bottom w:val="single" w:sz="4" w:space="0" w:color="auto"/>
                        </w:tcBorders>
                        <w:shd w:val="clear" w:color="auto" w:fill="auto"/>
                        <w:vAlign w:val="bottom"/>
                      </w:tcPr>
                      <w:p w14:paraId="29F9525F" w14:textId="77777777" w:rsidR="00E036AA" w:rsidRPr="008B47AB" w:rsidRDefault="00E036AA" w:rsidP="00E036AA">
                        <w:pPr>
                          <w:pStyle w:val="DecimalAligned"/>
                          <w:tabs>
                            <w:tab w:val="clear" w:pos="360"/>
                            <w:tab w:val="left" w:pos="352"/>
                          </w:tabs>
                          <w:spacing w:after="0" w:line="240" w:lineRule="auto"/>
                          <w:jc w:val="right"/>
                          <w:rPr>
                            <w:rFonts w:asciiTheme="minorHAnsi" w:hAnsiTheme="minorHAnsi" w:cstheme="minorHAnsi"/>
                            <w:b/>
                            <w:bCs/>
                            <w:color w:val="000000" w:themeColor="text1"/>
                            <w:sz w:val="18"/>
                            <w:szCs w:val="18"/>
                          </w:rPr>
                        </w:pPr>
                        <w:r w:rsidRPr="008B47AB">
                          <w:rPr>
                            <w:rFonts w:asciiTheme="minorHAnsi" w:hAnsiTheme="minorHAnsi" w:cstheme="minorHAnsi"/>
                            <w:b/>
                            <w:bCs/>
                            <w:color w:val="000000" w:themeColor="text1"/>
                            <w:sz w:val="18"/>
                            <w:szCs w:val="18"/>
                          </w:rPr>
                          <w:t xml:space="preserve">6 months </w:t>
                        </w:r>
                        <w:proofErr w:type="gramStart"/>
                        <w:r w:rsidRPr="008B47AB">
                          <w:rPr>
                            <w:rFonts w:asciiTheme="minorHAnsi" w:hAnsiTheme="minorHAnsi" w:cstheme="minorHAnsi"/>
                            <w:b/>
                            <w:bCs/>
                            <w:color w:val="000000" w:themeColor="text1"/>
                            <w:sz w:val="18"/>
                            <w:szCs w:val="18"/>
                          </w:rPr>
                          <w:t>ended</w:t>
                        </w:r>
                        <w:proofErr w:type="gramEnd"/>
                        <w:r w:rsidRPr="008B47AB">
                          <w:rPr>
                            <w:rFonts w:asciiTheme="minorHAnsi" w:hAnsiTheme="minorHAnsi" w:cstheme="minorHAnsi"/>
                            <w:b/>
                            <w:bCs/>
                            <w:color w:val="000000" w:themeColor="text1"/>
                            <w:sz w:val="18"/>
                            <w:szCs w:val="18"/>
                          </w:rPr>
                          <w:t xml:space="preserve"> </w:t>
                        </w:r>
                      </w:p>
                      <w:p w14:paraId="669C659A" w14:textId="26F0DC9F" w:rsidR="00E036AA" w:rsidRPr="00AC3DFC" w:rsidRDefault="00E036AA" w:rsidP="00E036AA">
                        <w:pPr>
                          <w:pStyle w:val="TableBody"/>
                          <w:tabs>
                            <w:tab w:val="left" w:pos="284"/>
                          </w:tabs>
                          <w:spacing w:line="240" w:lineRule="auto"/>
                          <w:ind w:left="0"/>
                          <w:jc w:val="right"/>
                          <w:rPr>
                            <w:rFonts w:asciiTheme="minorHAnsi" w:eastAsia="Times New Roman" w:hAnsiTheme="minorHAnsi" w:cstheme="minorHAnsi"/>
                            <w:color w:val="000000" w:themeColor="text1"/>
                            <w:sz w:val="18"/>
                            <w:szCs w:val="18"/>
                            <w:lang w:val="en-US" w:eastAsia="en-US" w:bidi="en-US"/>
                          </w:rPr>
                        </w:pPr>
                        <w:r w:rsidRPr="008B47AB">
                          <w:rPr>
                            <w:rFonts w:asciiTheme="minorHAnsi" w:hAnsiTheme="minorHAnsi" w:cstheme="minorHAnsi"/>
                            <w:b/>
                            <w:bCs/>
                            <w:color w:val="000000" w:themeColor="text1"/>
                            <w:sz w:val="18"/>
                            <w:szCs w:val="18"/>
                          </w:rPr>
                          <w:t>31 January 2023</w:t>
                        </w:r>
                      </w:p>
                    </w:tc>
                    <w:tc>
                      <w:tcPr>
                        <w:tcW w:w="918" w:type="pct"/>
                        <w:tcBorders>
                          <w:bottom w:val="single" w:sz="4" w:space="0" w:color="auto"/>
                        </w:tcBorders>
                        <w:vAlign w:val="bottom"/>
                      </w:tcPr>
                      <w:p w14:paraId="6A4B6029" w14:textId="77777777" w:rsidR="00E036AA" w:rsidRPr="008B47AB" w:rsidRDefault="00E036AA" w:rsidP="00E036AA">
                        <w:pPr>
                          <w:spacing w:after="0" w:line="240" w:lineRule="auto"/>
                          <w:jc w:val="right"/>
                          <w:rPr>
                            <w:rFonts w:asciiTheme="minorHAnsi" w:hAnsiTheme="minorHAnsi" w:cstheme="minorHAnsi"/>
                            <w:color w:val="000000" w:themeColor="text1"/>
                            <w:sz w:val="18"/>
                            <w:szCs w:val="18"/>
                          </w:rPr>
                        </w:pPr>
                        <w:r w:rsidRPr="008B47AB">
                          <w:rPr>
                            <w:rFonts w:asciiTheme="minorHAnsi" w:hAnsiTheme="minorHAnsi" w:cstheme="minorHAnsi"/>
                            <w:color w:val="000000" w:themeColor="text1"/>
                            <w:sz w:val="18"/>
                            <w:szCs w:val="18"/>
                          </w:rPr>
                          <w:t xml:space="preserve">6 months </w:t>
                        </w:r>
                        <w:proofErr w:type="gramStart"/>
                        <w:r w:rsidRPr="008B47AB">
                          <w:rPr>
                            <w:rFonts w:asciiTheme="minorHAnsi" w:hAnsiTheme="minorHAnsi" w:cstheme="minorHAnsi"/>
                            <w:color w:val="000000" w:themeColor="text1"/>
                            <w:sz w:val="18"/>
                            <w:szCs w:val="18"/>
                          </w:rPr>
                          <w:t>ended</w:t>
                        </w:r>
                        <w:proofErr w:type="gramEnd"/>
                        <w:r w:rsidRPr="008B47AB">
                          <w:rPr>
                            <w:rFonts w:asciiTheme="minorHAnsi" w:hAnsiTheme="minorHAnsi" w:cstheme="minorHAnsi"/>
                            <w:color w:val="000000" w:themeColor="text1"/>
                            <w:sz w:val="18"/>
                            <w:szCs w:val="18"/>
                          </w:rPr>
                          <w:t xml:space="preserve"> </w:t>
                        </w:r>
                      </w:p>
                      <w:p w14:paraId="1F3F9896" w14:textId="014C8C91" w:rsidR="00E036AA" w:rsidRPr="00AC3DFC" w:rsidRDefault="00E036AA" w:rsidP="00E036AA">
                        <w:pPr>
                          <w:pStyle w:val="TableBody"/>
                          <w:tabs>
                            <w:tab w:val="left" w:pos="284"/>
                          </w:tabs>
                          <w:spacing w:line="240" w:lineRule="auto"/>
                          <w:ind w:left="0"/>
                          <w:jc w:val="right"/>
                          <w:rPr>
                            <w:rFonts w:asciiTheme="minorHAnsi" w:eastAsia="Times New Roman" w:hAnsiTheme="minorHAnsi" w:cstheme="minorHAnsi"/>
                            <w:b/>
                            <w:color w:val="000000" w:themeColor="text1"/>
                            <w:sz w:val="18"/>
                            <w:szCs w:val="18"/>
                            <w:lang w:val="en-US" w:eastAsia="en-US" w:bidi="en-US"/>
                          </w:rPr>
                        </w:pPr>
                        <w:r w:rsidRPr="008B47AB">
                          <w:rPr>
                            <w:rFonts w:asciiTheme="minorHAnsi" w:hAnsiTheme="minorHAnsi" w:cstheme="minorHAnsi"/>
                            <w:color w:val="000000" w:themeColor="text1"/>
                            <w:sz w:val="18"/>
                            <w:szCs w:val="18"/>
                          </w:rPr>
                          <w:t>31 January 2022</w:t>
                        </w:r>
                      </w:p>
                    </w:tc>
                    <w:tc>
                      <w:tcPr>
                        <w:tcW w:w="918" w:type="pct"/>
                        <w:tcBorders>
                          <w:bottom w:val="single" w:sz="4" w:space="0" w:color="auto"/>
                        </w:tcBorders>
                        <w:shd w:val="clear" w:color="auto" w:fill="auto"/>
                        <w:vAlign w:val="bottom"/>
                      </w:tcPr>
                      <w:p w14:paraId="42717574" w14:textId="77777777" w:rsidR="00E036AA" w:rsidRPr="008B47AB" w:rsidRDefault="00E036AA" w:rsidP="00E036AA">
                        <w:pPr>
                          <w:spacing w:after="0" w:line="240" w:lineRule="auto"/>
                          <w:jc w:val="right"/>
                          <w:rPr>
                            <w:rFonts w:asciiTheme="minorHAnsi" w:hAnsiTheme="minorHAnsi" w:cstheme="minorHAnsi"/>
                            <w:color w:val="000000" w:themeColor="text1"/>
                            <w:sz w:val="18"/>
                            <w:szCs w:val="18"/>
                            <w:lang w:val="en-US"/>
                          </w:rPr>
                        </w:pPr>
                        <w:r w:rsidRPr="008B47AB">
                          <w:rPr>
                            <w:rFonts w:asciiTheme="minorHAnsi" w:hAnsiTheme="minorHAnsi" w:cstheme="minorHAnsi"/>
                            <w:color w:val="000000" w:themeColor="text1"/>
                            <w:sz w:val="18"/>
                            <w:szCs w:val="18"/>
                            <w:lang w:val="en-US"/>
                          </w:rPr>
                          <w:t xml:space="preserve">Year </w:t>
                        </w:r>
                        <w:proofErr w:type="gramStart"/>
                        <w:r w:rsidRPr="008B47AB">
                          <w:rPr>
                            <w:rFonts w:asciiTheme="minorHAnsi" w:hAnsiTheme="minorHAnsi" w:cstheme="minorHAnsi"/>
                            <w:color w:val="000000" w:themeColor="text1"/>
                            <w:sz w:val="18"/>
                            <w:szCs w:val="18"/>
                            <w:lang w:val="en-US"/>
                          </w:rPr>
                          <w:t>ended</w:t>
                        </w:r>
                        <w:proofErr w:type="gramEnd"/>
                        <w:r w:rsidRPr="008B47AB">
                          <w:rPr>
                            <w:rFonts w:asciiTheme="minorHAnsi" w:hAnsiTheme="minorHAnsi" w:cstheme="minorHAnsi"/>
                            <w:color w:val="000000" w:themeColor="text1"/>
                            <w:sz w:val="18"/>
                            <w:szCs w:val="18"/>
                            <w:lang w:val="en-US"/>
                          </w:rPr>
                          <w:t xml:space="preserve"> </w:t>
                        </w:r>
                      </w:p>
                      <w:p w14:paraId="331DA484" w14:textId="70B9511E" w:rsidR="00E036AA" w:rsidRPr="00AC3DFC" w:rsidRDefault="00E036AA" w:rsidP="00E036AA">
                        <w:pPr>
                          <w:pStyle w:val="TableBody"/>
                          <w:tabs>
                            <w:tab w:val="left" w:pos="284"/>
                          </w:tabs>
                          <w:spacing w:line="240" w:lineRule="auto"/>
                          <w:ind w:left="0"/>
                          <w:jc w:val="right"/>
                          <w:rPr>
                            <w:rFonts w:asciiTheme="minorHAnsi" w:eastAsia="Times New Roman" w:hAnsiTheme="minorHAnsi" w:cstheme="minorHAnsi"/>
                            <w:b/>
                            <w:color w:val="000000" w:themeColor="text1"/>
                            <w:sz w:val="18"/>
                            <w:szCs w:val="18"/>
                            <w:lang w:val="en-US" w:eastAsia="en-US" w:bidi="en-US"/>
                          </w:rPr>
                        </w:pPr>
                        <w:r w:rsidRPr="008B47AB">
                          <w:rPr>
                            <w:rFonts w:asciiTheme="minorHAnsi" w:hAnsiTheme="minorHAnsi" w:cstheme="minorHAnsi"/>
                            <w:color w:val="000000" w:themeColor="text1"/>
                            <w:sz w:val="18"/>
                            <w:szCs w:val="18"/>
                            <w:lang w:val="en-US"/>
                          </w:rPr>
                          <w:t>31 July 2022</w:t>
                        </w:r>
                      </w:p>
                    </w:tc>
                  </w:tr>
                  <w:tr w:rsidR="00BC25D7" w:rsidRPr="00551D5A" w14:paraId="6E621D47" w14:textId="77777777" w:rsidTr="00997EF7">
                    <w:trPr>
                      <w:trHeight w:val="243"/>
                    </w:trPr>
                    <w:tc>
                      <w:tcPr>
                        <w:tcW w:w="2247" w:type="pct"/>
                        <w:tcBorders>
                          <w:top w:val="single" w:sz="4" w:space="0" w:color="auto"/>
                          <w:bottom w:val="single" w:sz="4" w:space="0" w:color="auto"/>
                        </w:tcBorders>
                        <w:shd w:val="clear" w:color="auto" w:fill="auto"/>
                      </w:tcPr>
                      <w:p w14:paraId="532FF8C9" w14:textId="77777777" w:rsidR="00BC25D7" w:rsidRPr="00551D5A" w:rsidRDefault="00BC25D7" w:rsidP="00997EF7">
                        <w:pPr>
                          <w:pStyle w:val="TableBody"/>
                          <w:tabs>
                            <w:tab w:val="left" w:pos="284"/>
                          </w:tabs>
                          <w:spacing w:line="240" w:lineRule="auto"/>
                          <w:ind w:left="0" w:hanging="68"/>
                          <w:jc w:val="both"/>
                          <w:rPr>
                            <w:rFonts w:asciiTheme="minorHAnsi" w:eastAsia="Times New Roman" w:hAnsiTheme="minorHAnsi" w:cstheme="minorHAnsi"/>
                            <w:color w:val="auto"/>
                            <w:sz w:val="18"/>
                            <w:szCs w:val="18"/>
                            <w:lang w:val="en-US" w:eastAsia="en-US" w:bidi="en-US"/>
                          </w:rPr>
                        </w:pPr>
                        <w:r w:rsidRPr="00551D5A">
                          <w:rPr>
                            <w:rFonts w:asciiTheme="minorHAnsi" w:eastAsia="Times New Roman" w:hAnsiTheme="minorHAnsi" w:cstheme="minorHAnsi"/>
                            <w:color w:val="auto"/>
                            <w:sz w:val="18"/>
                            <w:szCs w:val="18"/>
                            <w:lang w:val="en-US" w:eastAsia="en-US" w:bidi="en-US"/>
                          </w:rPr>
                          <w:t>Profit for the year</w:t>
                        </w:r>
                      </w:p>
                    </w:tc>
                    <w:tc>
                      <w:tcPr>
                        <w:tcW w:w="918" w:type="pct"/>
                        <w:tcBorders>
                          <w:top w:val="single" w:sz="4" w:space="0" w:color="auto"/>
                          <w:bottom w:val="single" w:sz="4" w:space="0" w:color="auto"/>
                        </w:tcBorders>
                        <w:shd w:val="clear" w:color="auto" w:fill="auto"/>
                      </w:tcPr>
                      <w:p w14:paraId="726815CD" w14:textId="590DCB45" w:rsidR="00BC25D7" w:rsidRPr="00E036AA" w:rsidRDefault="00B55ABF" w:rsidP="00997EF7">
                        <w:pPr>
                          <w:pStyle w:val="TableBody"/>
                          <w:tabs>
                            <w:tab w:val="left" w:pos="284"/>
                          </w:tabs>
                          <w:spacing w:line="240" w:lineRule="auto"/>
                          <w:ind w:left="0"/>
                          <w:jc w:val="right"/>
                          <w:rPr>
                            <w:rStyle w:val="SubtleEmphasis1"/>
                            <w:rFonts w:asciiTheme="minorHAnsi" w:eastAsia="MS Mincho" w:hAnsiTheme="minorHAnsi" w:cstheme="minorHAnsi"/>
                            <w:b/>
                            <w:i w:val="0"/>
                            <w:color w:val="auto"/>
                            <w:sz w:val="18"/>
                            <w:szCs w:val="18"/>
                            <w:lang w:eastAsia="en-US" w:bidi="en-US"/>
                          </w:rPr>
                        </w:pPr>
                        <w:r w:rsidRPr="00E036AA">
                          <w:rPr>
                            <w:rStyle w:val="SubtleEmphasis1"/>
                            <w:rFonts w:asciiTheme="minorHAnsi" w:eastAsia="MS Mincho" w:hAnsiTheme="minorHAnsi" w:cstheme="minorHAnsi"/>
                            <w:b/>
                            <w:i w:val="0"/>
                            <w:color w:val="auto"/>
                            <w:sz w:val="18"/>
                            <w:szCs w:val="18"/>
                            <w:lang w:eastAsia="en-US" w:bidi="en-US"/>
                          </w:rPr>
                          <w:t>7,28</w:t>
                        </w:r>
                        <w:r w:rsidR="00136E96">
                          <w:rPr>
                            <w:rStyle w:val="SubtleEmphasis1"/>
                            <w:rFonts w:asciiTheme="minorHAnsi" w:eastAsia="MS Mincho" w:hAnsiTheme="minorHAnsi" w:cstheme="minorHAnsi"/>
                            <w:b/>
                            <w:i w:val="0"/>
                            <w:color w:val="auto"/>
                            <w:sz w:val="18"/>
                            <w:szCs w:val="18"/>
                            <w:lang w:eastAsia="en-US" w:bidi="en-US"/>
                          </w:rPr>
                          <w:t>0</w:t>
                        </w:r>
                      </w:p>
                    </w:tc>
                    <w:tc>
                      <w:tcPr>
                        <w:tcW w:w="918" w:type="pct"/>
                        <w:tcBorders>
                          <w:top w:val="single" w:sz="4" w:space="0" w:color="auto"/>
                          <w:bottom w:val="single" w:sz="4" w:space="0" w:color="auto"/>
                        </w:tcBorders>
                      </w:tcPr>
                      <w:p w14:paraId="18D572D5" w14:textId="613AC202" w:rsidR="00BC25D7" w:rsidRPr="00E036AA" w:rsidRDefault="00BC25D7" w:rsidP="00BC25D7">
                        <w:pPr>
                          <w:pStyle w:val="TableBody"/>
                          <w:tabs>
                            <w:tab w:val="left" w:pos="284"/>
                          </w:tabs>
                          <w:spacing w:line="240" w:lineRule="auto"/>
                          <w:ind w:left="0"/>
                          <w:jc w:val="right"/>
                          <w:rPr>
                            <w:rFonts w:asciiTheme="minorHAnsi" w:eastAsia="Times New Roman" w:hAnsiTheme="minorHAnsi" w:cstheme="minorHAnsi"/>
                            <w:color w:val="auto"/>
                            <w:sz w:val="18"/>
                            <w:szCs w:val="18"/>
                            <w:lang w:val="en-US" w:eastAsia="en-US" w:bidi="en-US"/>
                          </w:rPr>
                        </w:pPr>
                        <w:r w:rsidRPr="00E036AA">
                          <w:rPr>
                            <w:rFonts w:asciiTheme="minorHAnsi" w:eastAsia="Times New Roman" w:hAnsiTheme="minorHAnsi" w:cstheme="minorHAnsi"/>
                            <w:color w:val="auto"/>
                            <w:sz w:val="18"/>
                            <w:szCs w:val="18"/>
                            <w:lang w:val="en-US" w:eastAsia="en-US" w:bidi="en-US"/>
                          </w:rPr>
                          <w:t>7,620</w:t>
                        </w:r>
                      </w:p>
                    </w:tc>
                    <w:tc>
                      <w:tcPr>
                        <w:tcW w:w="918" w:type="pct"/>
                        <w:tcBorders>
                          <w:top w:val="single" w:sz="4" w:space="0" w:color="auto"/>
                          <w:bottom w:val="single" w:sz="4" w:space="0" w:color="auto"/>
                        </w:tcBorders>
                        <w:shd w:val="clear" w:color="auto" w:fill="auto"/>
                      </w:tcPr>
                      <w:p w14:paraId="1E195110" w14:textId="65CD8789" w:rsidR="00BC25D7" w:rsidRPr="00E036AA" w:rsidRDefault="00BC25D7" w:rsidP="00BC25D7">
                        <w:pPr>
                          <w:pStyle w:val="TableBody"/>
                          <w:tabs>
                            <w:tab w:val="left" w:pos="284"/>
                          </w:tabs>
                          <w:spacing w:line="240" w:lineRule="auto"/>
                          <w:ind w:left="0"/>
                          <w:jc w:val="right"/>
                          <w:rPr>
                            <w:rFonts w:asciiTheme="minorHAnsi" w:eastAsia="Times New Roman" w:hAnsiTheme="minorHAnsi" w:cstheme="minorHAnsi"/>
                            <w:color w:val="auto"/>
                            <w:sz w:val="18"/>
                            <w:szCs w:val="18"/>
                            <w:lang w:val="en-US" w:eastAsia="en-US" w:bidi="en-US"/>
                          </w:rPr>
                        </w:pPr>
                        <w:r w:rsidRPr="00E036AA">
                          <w:rPr>
                            <w:rFonts w:asciiTheme="minorHAnsi" w:eastAsia="Times New Roman" w:hAnsiTheme="minorHAnsi" w:cstheme="minorHAnsi"/>
                            <w:color w:val="auto"/>
                            <w:sz w:val="18"/>
                            <w:szCs w:val="18"/>
                            <w:lang w:val="en-US" w:eastAsia="en-US" w:bidi="en-US"/>
                          </w:rPr>
                          <w:t>12,370</w:t>
                        </w:r>
                      </w:p>
                    </w:tc>
                  </w:tr>
                  <w:tr w:rsidR="00BC25D7" w:rsidRPr="00551D5A" w14:paraId="7B728DA4" w14:textId="77777777" w:rsidTr="00997EF7">
                    <w:trPr>
                      <w:trHeight w:val="227"/>
                    </w:trPr>
                    <w:tc>
                      <w:tcPr>
                        <w:tcW w:w="2247" w:type="pct"/>
                        <w:tcBorders>
                          <w:bottom w:val="single" w:sz="4" w:space="0" w:color="auto"/>
                        </w:tcBorders>
                        <w:shd w:val="clear" w:color="auto" w:fill="auto"/>
                      </w:tcPr>
                      <w:p w14:paraId="450A1CA9" w14:textId="77777777" w:rsidR="00BC25D7" w:rsidRPr="00551D5A" w:rsidRDefault="00BC25D7" w:rsidP="00997EF7">
                        <w:pPr>
                          <w:pStyle w:val="TableBody"/>
                          <w:tabs>
                            <w:tab w:val="left" w:pos="284"/>
                          </w:tabs>
                          <w:spacing w:line="240" w:lineRule="auto"/>
                          <w:ind w:left="0" w:hanging="68"/>
                          <w:jc w:val="both"/>
                          <w:rPr>
                            <w:rFonts w:asciiTheme="minorHAnsi" w:eastAsia="Times New Roman" w:hAnsiTheme="minorHAnsi" w:cstheme="minorHAnsi"/>
                            <w:color w:val="auto"/>
                            <w:sz w:val="18"/>
                            <w:szCs w:val="18"/>
                            <w:lang w:val="en-US" w:eastAsia="en-US" w:bidi="en-US"/>
                          </w:rPr>
                        </w:pPr>
                      </w:p>
                    </w:tc>
                    <w:tc>
                      <w:tcPr>
                        <w:tcW w:w="918" w:type="pct"/>
                        <w:tcBorders>
                          <w:bottom w:val="single" w:sz="4" w:space="0" w:color="auto"/>
                        </w:tcBorders>
                        <w:shd w:val="clear" w:color="auto" w:fill="auto"/>
                      </w:tcPr>
                      <w:p w14:paraId="2FFA6094" w14:textId="77777777" w:rsidR="00BC25D7" w:rsidRPr="00E036AA" w:rsidRDefault="00BC25D7" w:rsidP="00BC25D7">
                        <w:pPr>
                          <w:pStyle w:val="TableBody"/>
                          <w:tabs>
                            <w:tab w:val="left" w:pos="284"/>
                          </w:tabs>
                          <w:spacing w:line="240" w:lineRule="auto"/>
                          <w:ind w:left="0"/>
                          <w:jc w:val="both"/>
                          <w:rPr>
                            <w:rStyle w:val="SubtleEmphasis1"/>
                            <w:rFonts w:asciiTheme="minorHAnsi" w:eastAsia="MS Mincho" w:hAnsiTheme="minorHAnsi" w:cstheme="minorHAnsi"/>
                            <w:b/>
                            <w:i w:val="0"/>
                            <w:color w:val="auto"/>
                            <w:sz w:val="18"/>
                            <w:szCs w:val="18"/>
                            <w:lang w:eastAsia="en-US" w:bidi="en-US"/>
                          </w:rPr>
                        </w:pPr>
                      </w:p>
                    </w:tc>
                    <w:tc>
                      <w:tcPr>
                        <w:tcW w:w="918" w:type="pct"/>
                        <w:tcBorders>
                          <w:bottom w:val="single" w:sz="4" w:space="0" w:color="auto"/>
                        </w:tcBorders>
                      </w:tcPr>
                      <w:p w14:paraId="3BCE5449" w14:textId="77777777" w:rsidR="00BC25D7" w:rsidRPr="00E036AA" w:rsidRDefault="00BC25D7" w:rsidP="00BC25D7">
                        <w:pPr>
                          <w:pStyle w:val="TableBody"/>
                          <w:tabs>
                            <w:tab w:val="left" w:pos="284"/>
                          </w:tabs>
                          <w:spacing w:line="240" w:lineRule="auto"/>
                          <w:ind w:left="0"/>
                          <w:jc w:val="right"/>
                          <w:rPr>
                            <w:rFonts w:asciiTheme="minorHAnsi" w:eastAsia="Times New Roman" w:hAnsiTheme="minorHAnsi" w:cstheme="minorHAnsi"/>
                            <w:b/>
                            <w:color w:val="auto"/>
                            <w:sz w:val="18"/>
                            <w:szCs w:val="18"/>
                            <w:lang w:val="en-US" w:eastAsia="en-US" w:bidi="en-US"/>
                          </w:rPr>
                        </w:pPr>
                      </w:p>
                    </w:tc>
                    <w:tc>
                      <w:tcPr>
                        <w:tcW w:w="918" w:type="pct"/>
                        <w:tcBorders>
                          <w:bottom w:val="single" w:sz="4" w:space="0" w:color="auto"/>
                        </w:tcBorders>
                        <w:shd w:val="clear" w:color="auto" w:fill="auto"/>
                      </w:tcPr>
                      <w:p w14:paraId="3357D7CC" w14:textId="4FA3039C" w:rsidR="00BC25D7" w:rsidRPr="00997EF7" w:rsidRDefault="00BC25D7" w:rsidP="00BC25D7">
                        <w:pPr>
                          <w:pStyle w:val="TableBody"/>
                          <w:tabs>
                            <w:tab w:val="left" w:pos="284"/>
                          </w:tabs>
                          <w:spacing w:line="240" w:lineRule="auto"/>
                          <w:ind w:left="0"/>
                          <w:jc w:val="right"/>
                          <w:rPr>
                            <w:rFonts w:asciiTheme="minorHAnsi" w:eastAsia="Times New Roman" w:hAnsiTheme="minorHAnsi" w:cstheme="minorHAnsi"/>
                            <w:bCs/>
                            <w:color w:val="auto"/>
                            <w:sz w:val="18"/>
                            <w:szCs w:val="18"/>
                            <w:lang w:val="en-US" w:eastAsia="en-US" w:bidi="en-US"/>
                          </w:rPr>
                        </w:pPr>
                        <w:r w:rsidRPr="00997EF7">
                          <w:rPr>
                            <w:rFonts w:asciiTheme="minorHAnsi" w:eastAsia="Times New Roman" w:hAnsiTheme="minorHAnsi" w:cstheme="minorHAnsi"/>
                            <w:bCs/>
                            <w:color w:val="auto"/>
                            <w:sz w:val="18"/>
                            <w:szCs w:val="18"/>
                            <w:lang w:val="en-US" w:eastAsia="en-US" w:bidi="en-US"/>
                          </w:rPr>
                          <w:t>Number</w:t>
                        </w:r>
                      </w:p>
                    </w:tc>
                  </w:tr>
                  <w:tr w:rsidR="00B55ABF" w:rsidRPr="00551D5A" w14:paraId="64C63570" w14:textId="77777777" w:rsidTr="00997EF7">
                    <w:trPr>
                      <w:trHeight w:val="227"/>
                    </w:trPr>
                    <w:tc>
                      <w:tcPr>
                        <w:tcW w:w="2247" w:type="pct"/>
                        <w:tcBorders>
                          <w:top w:val="single" w:sz="4" w:space="0" w:color="auto"/>
                        </w:tcBorders>
                        <w:shd w:val="clear" w:color="auto" w:fill="auto"/>
                      </w:tcPr>
                      <w:p w14:paraId="74B0BED7" w14:textId="77777777" w:rsidR="00B55ABF" w:rsidRPr="00551D5A" w:rsidRDefault="00B55ABF" w:rsidP="00997EF7">
                        <w:pPr>
                          <w:pStyle w:val="TableBody"/>
                          <w:tabs>
                            <w:tab w:val="left" w:pos="284"/>
                          </w:tabs>
                          <w:spacing w:line="240" w:lineRule="auto"/>
                          <w:ind w:left="0" w:hanging="68"/>
                          <w:jc w:val="both"/>
                          <w:rPr>
                            <w:rFonts w:asciiTheme="minorHAnsi" w:eastAsia="Times New Roman" w:hAnsiTheme="minorHAnsi" w:cstheme="minorHAnsi"/>
                            <w:color w:val="auto"/>
                            <w:sz w:val="18"/>
                            <w:szCs w:val="18"/>
                            <w:lang w:val="en-US" w:eastAsia="en-US" w:bidi="en-US"/>
                          </w:rPr>
                        </w:pPr>
                        <w:r w:rsidRPr="00551D5A">
                          <w:rPr>
                            <w:rFonts w:asciiTheme="minorHAnsi" w:eastAsia="Times New Roman" w:hAnsiTheme="minorHAnsi" w:cstheme="minorHAnsi"/>
                            <w:color w:val="auto"/>
                            <w:sz w:val="18"/>
                            <w:szCs w:val="18"/>
                            <w:lang w:val="en-US" w:eastAsia="en-US" w:bidi="en-US"/>
                          </w:rPr>
                          <w:t>Weighted average number of shares in issue</w:t>
                        </w:r>
                      </w:p>
                    </w:tc>
                    <w:tc>
                      <w:tcPr>
                        <w:tcW w:w="918" w:type="pct"/>
                        <w:tcBorders>
                          <w:top w:val="single" w:sz="4" w:space="0" w:color="auto"/>
                        </w:tcBorders>
                        <w:shd w:val="clear" w:color="auto" w:fill="auto"/>
                        <w:vAlign w:val="bottom"/>
                      </w:tcPr>
                      <w:p w14:paraId="3B963E75" w14:textId="74294335" w:rsidR="00B55ABF" w:rsidRPr="00E036AA" w:rsidRDefault="00B55ABF" w:rsidP="00997EF7">
                        <w:pPr>
                          <w:pStyle w:val="TableBody"/>
                          <w:tabs>
                            <w:tab w:val="left" w:pos="284"/>
                          </w:tabs>
                          <w:spacing w:line="240" w:lineRule="auto"/>
                          <w:ind w:left="0"/>
                          <w:jc w:val="right"/>
                          <w:rPr>
                            <w:rStyle w:val="SubtleEmphasis1"/>
                            <w:rFonts w:asciiTheme="minorHAnsi" w:eastAsia="MS Mincho" w:hAnsiTheme="minorHAnsi" w:cstheme="minorHAnsi"/>
                            <w:b/>
                            <w:i w:val="0"/>
                            <w:color w:val="auto"/>
                            <w:sz w:val="18"/>
                            <w:szCs w:val="18"/>
                            <w:lang w:eastAsia="en-US" w:bidi="en-US"/>
                          </w:rPr>
                        </w:pPr>
                        <w:r w:rsidRPr="00997EF7">
                          <w:rPr>
                            <w:rFonts w:ascii="Calibri" w:hAnsi="Calibri" w:cs="Calibri"/>
                            <w:b/>
                            <w:bCs/>
                            <w:color w:val="000000"/>
                            <w:sz w:val="18"/>
                            <w:szCs w:val="18"/>
                          </w:rPr>
                          <w:t xml:space="preserve">  89,312,457 </w:t>
                        </w:r>
                      </w:p>
                    </w:tc>
                    <w:tc>
                      <w:tcPr>
                        <w:tcW w:w="918" w:type="pct"/>
                        <w:tcBorders>
                          <w:top w:val="single" w:sz="4" w:space="0" w:color="auto"/>
                        </w:tcBorders>
                      </w:tcPr>
                      <w:p w14:paraId="6CEA91AE" w14:textId="6792CAC4" w:rsidR="00B55ABF" w:rsidRPr="00E036AA" w:rsidRDefault="00B55ABF" w:rsidP="00B55ABF">
                        <w:pPr>
                          <w:pStyle w:val="TableBody"/>
                          <w:tabs>
                            <w:tab w:val="left" w:pos="284"/>
                          </w:tabs>
                          <w:spacing w:line="240" w:lineRule="auto"/>
                          <w:ind w:left="0"/>
                          <w:jc w:val="right"/>
                          <w:rPr>
                            <w:rFonts w:asciiTheme="minorHAnsi" w:hAnsiTheme="minorHAnsi" w:cstheme="minorHAnsi"/>
                            <w:color w:val="auto"/>
                            <w:sz w:val="18"/>
                            <w:szCs w:val="18"/>
                            <w:lang w:val="en-GB"/>
                          </w:rPr>
                        </w:pPr>
                        <w:r w:rsidRPr="00E036AA">
                          <w:rPr>
                            <w:rFonts w:asciiTheme="minorHAnsi" w:hAnsiTheme="minorHAnsi" w:cstheme="minorHAnsi"/>
                            <w:color w:val="auto"/>
                            <w:sz w:val="18"/>
                            <w:szCs w:val="18"/>
                            <w:lang w:val="en-GB"/>
                          </w:rPr>
                          <w:t>89,312,457</w:t>
                        </w:r>
                      </w:p>
                    </w:tc>
                    <w:tc>
                      <w:tcPr>
                        <w:tcW w:w="918" w:type="pct"/>
                        <w:tcBorders>
                          <w:top w:val="single" w:sz="4" w:space="0" w:color="auto"/>
                        </w:tcBorders>
                        <w:shd w:val="clear" w:color="auto" w:fill="auto"/>
                        <w:vAlign w:val="bottom"/>
                      </w:tcPr>
                      <w:p w14:paraId="0DE6EE31" w14:textId="75843B79" w:rsidR="00B55ABF" w:rsidRPr="00E036AA" w:rsidRDefault="00B55ABF" w:rsidP="00B55ABF">
                        <w:pPr>
                          <w:pStyle w:val="TableBody"/>
                          <w:tabs>
                            <w:tab w:val="left" w:pos="284"/>
                          </w:tabs>
                          <w:spacing w:line="240" w:lineRule="auto"/>
                          <w:ind w:left="0"/>
                          <w:jc w:val="right"/>
                          <w:rPr>
                            <w:rFonts w:asciiTheme="minorHAnsi" w:eastAsia="Times New Roman" w:hAnsiTheme="minorHAnsi" w:cstheme="minorHAnsi"/>
                            <w:color w:val="auto"/>
                            <w:sz w:val="18"/>
                            <w:szCs w:val="18"/>
                            <w:lang w:val="en-US" w:eastAsia="en-US" w:bidi="en-US"/>
                          </w:rPr>
                        </w:pPr>
                        <w:r w:rsidRPr="00E036AA">
                          <w:rPr>
                            <w:rFonts w:asciiTheme="minorHAnsi" w:hAnsiTheme="minorHAnsi" w:cstheme="minorHAnsi"/>
                            <w:color w:val="auto"/>
                            <w:sz w:val="18"/>
                            <w:szCs w:val="18"/>
                          </w:rPr>
                          <w:t xml:space="preserve">   89,312,457 </w:t>
                        </w:r>
                      </w:p>
                    </w:tc>
                  </w:tr>
                  <w:tr w:rsidR="00B55ABF" w:rsidRPr="00551D5A" w14:paraId="68FBEBFE" w14:textId="77777777" w:rsidTr="00997EF7">
                    <w:trPr>
                      <w:trHeight w:val="243"/>
                    </w:trPr>
                    <w:tc>
                      <w:tcPr>
                        <w:tcW w:w="2247" w:type="pct"/>
                        <w:tcBorders>
                          <w:bottom w:val="single" w:sz="4" w:space="0" w:color="auto"/>
                        </w:tcBorders>
                        <w:shd w:val="clear" w:color="auto" w:fill="auto"/>
                      </w:tcPr>
                      <w:p w14:paraId="22FCF536" w14:textId="77777777" w:rsidR="00B55ABF" w:rsidRPr="00551D5A" w:rsidRDefault="00B55ABF" w:rsidP="00997EF7">
                        <w:pPr>
                          <w:pStyle w:val="TableBody"/>
                          <w:tabs>
                            <w:tab w:val="left" w:pos="284"/>
                          </w:tabs>
                          <w:spacing w:line="240" w:lineRule="auto"/>
                          <w:ind w:left="0" w:hanging="68"/>
                          <w:jc w:val="both"/>
                          <w:rPr>
                            <w:rFonts w:asciiTheme="minorHAnsi" w:eastAsia="Times New Roman" w:hAnsiTheme="minorHAnsi" w:cstheme="minorHAnsi"/>
                            <w:color w:val="auto"/>
                            <w:sz w:val="18"/>
                            <w:szCs w:val="18"/>
                            <w:lang w:val="en-US" w:eastAsia="en-US" w:bidi="en-US"/>
                          </w:rPr>
                        </w:pPr>
                        <w:r w:rsidRPr="00551D5A">
                          <w:rPr>
                            <w:rFonts w:asciiTheme="minorHAnsi" w:eastAsia="Times New Roman" w:hAnsiTheme="minorHAnsi" w:cstheme="minorHAnsi"/>
                            <w:color w:val="auto"/>
                            <w:sz w:val="18"/>
                            <w:szCs w:val="18"/>
                            <w:lang w:val="en-US" w:eastAsia="en-US" w:bidi="en-US"/>
                          </w:rPr>
                          <w:t>Less shares held by the UPGS EBT</w:t>
                        </w:r>
                      </w:p>
                    </w:tc>
                    <w:tc>
                      <w:tcPr>
                        <w:tcW w:w="918" w:type="pct"/>
                        <w:tcBorders>
                          <w:bottom w:val="single" w:sz="4" w:space="0" w:color="auto"/>
                        </w:tcBorders>
                        <w:shd w:val="clear" w:color="auto" w:fill="auto"/>
                        <w:vAlign w:val="bottom"/>
                      </w:tcPr>
                      <w:p w14:paraId="5D57E531" w14:textId="6E044335" w:rsidR="00B55ABF" w:rsidRPr="00E036AA" w:rsidRDefault="00B55ABF" w:rsidP="00997EF7">
                        <w:pPr>
                          <w:pStyle w:val="TableBody"/>
                          <w:tabs>
                            <w:tab w:val="left" w:pos="284"/>
                          </w:tabs>
                          <w:spacing w:line="240" w:lineRule="auto"/>
                          <w:ind w:left="0"/>
                          <w:jc w:val="right"/>
                          <w:rPr>
                            <w:rStyle w:val="SubtleEmphasis1"/>
                            <w:rFonts w:asciiTheme="minorHAnsi" w:eastAsia="MS Mincho" w:hAnsiTheme="minorHAnsi" w:cstheme="minorHAnsi"/>
                            <w:b/>
                            <w:i w:val="0"/>
                            <w:color w:val="auto"/>
                            <w:sz w:val="18"/>
                            <w:szCs w:val="18"/>
                            <w:lang w:eastAsia="en-US" w:bidi="en-US"/>
                          </w:rPr>
                        </w:pPr>
                        <w:r w:rsidRPr="00997EF7">
                          <w:rPr>
                            <w:rFonts w:ascii="Calibri" w:hAnsi="Calibri" w:cs="Calibri"/>
                            <w:color w:val="000000"/>
                            <w:sz w:val="18"/>
                            <w:szCs w:val="18"/>
                          </w:rPr>
                          <w:t>(3,077,824)</w:t>
                        </w:r>
                      </w:p>
                    </w:tc>
                    <w:tc>
                      <w:tcPr>
                        <w:tcW w:w="918" w:type="pct"/>
                        <w:tcBorders>
                          <w:bottom w:val="single" w:sz="4" w:space="0" w:color="auto"/>
                        </w:tcBorders>
                      </w:tcPr>
                      <w:p w14:paraId="25B5701E" w14:textId="2F9F25D6" w:rsidR="00B55ABF" w:rsidRPr="00E036AA" w:rsidRDefault="00B55ABF" w:rsidP="00B55ABF">
                        <w:pPr>
                          <w:pStyle w:val="TableBody"/>
                          <w:tabs>
                            <w:tab w:val="left" w:pos="284"/>
                          </w:tabs>
                          <w:spacing w:line="240" w:lineRule="auto"/>
                          <w:ind w:left="0"/>
                          <w:jc w:val="right"/>
                          <w:rPr>
                            <w:rFonts w:asciiTheme="minorHAnsi" w:hAnsiTheme="minorHAnsi" w:cstheme="minorHAnsi"/>
                            <w:color w:val="auto"/>
                            <w:sz w:val="18"/>
                            <w:szCs w:val="18"/>
                            <w:lang w:val="en-GB"/>
                          </w:rPr>
                        </w:pPr>
                        <w:r w:rsidRPr="00E036AA">
                          <w:rPr>
                            <w:rFonts w:asciiTheme="minorHAnsi" w:hAnsiTheme="minorHAnsi" w:cstheme="minorHAnsi"/>
                            <w:color w:val="auto"/>
                            <w:sz w:val="18"/>
                            <w:szCs w:val="18"/>
                            <w:lang w:val="en-GB"/>
                          </w:rPr>
                          <w:t>(3,978,691)</w:t>
                        </w:r>
                      </w:p>
                    </w:tc>
                    <w:tc>
                      <w:tcPr>
                        <w:tcW w:w="918" w:type="pct"/>
                        <w:tcBorders>
                          <w:bottom w:val="single" w:sz="4" w:space="0" w:color="auto"/>
                        </w:tcBorders>
                        <w:shd w:val="clear" w:color="auto" w:fill="auto"/>
                        <w:vAlign w:val="bottom"/>
                      </w:tcPr>
                      <w:p w14:paraId="10007B12" w14:textId="7DE3C2CF" w:rsidR="00B55ABF" w:rsidRPr="00E036AA" w:rsidRDefault="00B55ABF" w:rsidP="00B55ABF">
                        <w:pPr>
                          <w:pStyle w:val="TableBody"/>
                          <w:tabs>
                            <w:tab w:val="left" w:pos="284"/>
                          </w:tabs>
                          <w:spacing w:line="240" w:lineRule="auto"/>
                          <w:ind w:left="0"/>
                          <w:jc w:val="right"/>
                          <w:rPr>
                            <w:rFonts w:asciiTheme="minorHAnsi" w:eastAsia="Times New Roman" w:hAnsiTheme="minorHAnsi" w:cstheme="minorHAnsi"/>
                            <w:color w:val="auto"/>
                            <w:sz w:val="18"/>
                            <w:szCs w:val="18"/>
                            <w:lang w:val="en-US" w:eastAsia="en-US" w:bidi="en-US"/>
                          </w:rPr>
                        </w:pPr>
                        <w:r w:rsidRPr="00E036AA">
                          <w:rPr>
                            <w:rFonts w:asciiTheme="minorHAnsi" w:hAnsiTheme="minorHAnsi" w:cstheme="minorHAnsi"/>
                            <w:color w:val="auto"/>
                            <w:sz w:val="18"/>
                            <w:szCs w:val="18"/>
                          </w:rPr>
                          <w:t>(2,958,630)</w:t>
                        </w:r>
                      </w:p>
                    </w:tc>
                  </w:tr>
                  <w:tr w:rsidR="00B55ABF" w:rsidRPr="00551D5A" w14:paraId="7AFFED28" w14:textId="77777777" w:rsidTr="00997EF7">
                    <w:trPr>
                      <w:trHeight w:val="227"/>
                    </w:trPr>
                    <w:tc>
                      <w:tcPr>
                        <w:tcW w:w="2247" w:type="pct"/>
                        <w:tcBorders>
                          <w:top w:val="single" w:sz="4" w:space="0" w:color="auto"/>
                        </w:tcBorders>
                        <w:shd w:val="clear" w:color="auto" w:fill="auto"/>
                      </w:tcPr>
                      <w:p w14:paraId="23996AFB" w14:textId="77777777" w:rsidR="00B55ABF" w:rsidRPr="00551D5A" w:rsidRDefault="00B55ABF" w:rsidP="00997EF7">
                        <w:pPr>
                          <w:pStyle w:val="TableBody"/>
                          <w:tabs>
                            <w:tab w:val="left" w:pos="284"/>
                          </w:tabs>
                          <w:spacing w:line="240" w:lineRule="auto"/>
                          <w:ind w:left="0" w:hanging="68"/>
                          <w:jc w:val="both"/>
                          <w:rPr>
                            <w:rFonts w:asciiTheme="minorHAnsi" w:eastAsia="Times New Roman" w:hAnsiTheme="minorHAnsi" w:cstheme="minorHAnsi"/>
                            <w:color w:val="auto"/>
                            <w:sz w:val="18"/>
                            <w:szCs w:val="18"/>
                            <w:lang w:val="en-US" w:eastAsia="en-US" w:bidi="en-US"/>
                          </w:rPr>
                        </w:pPr>
                        <w:r w:rsidRPr="00551D5A">
                          <w:rPr>
                            <w:rFonts w:asciiTheme="minorHAnsi" w:eastAsia="Times New Roman" w:hAnsiTheme="minorHAnsi" w:cstheme="minorHAnsi"/>
                            <w:color w:val="auto"/>
                            <w:sz w:val="18"/>
                            <w:szCs w:val="18"/>
                            <w:lang w:val="en-US" w:eastAsia="en-US" w:bidi="en-US"/>
                          </w:rPr>
                          <w:t>Weighted average number of shares – basic</w:t>
                        </w:r>
                      </w:p>
                    </w:tc>
                    <w:tc>
                      <w:tcPr>
                        <w:tcW w:w="918" w:type="pct"/>
                        <w:tcBorders>
                          <w:top w:val="single" w:sz="4" w:space="0" w:color="auto"/>
                        </w:tcBorders>
                        <w:shd w:val="clear" w:color="auto" w:fill="auto"/>
                        <w:vAlign w:val="bottom"/>
                      </w:tcPr>
                      <w:p w14:paraId="4FA9F4C0" w14:textId="34934B4E" w:rsidR="00B55ABF" w:rsidRPr="00E036AA" w:rsidRDefault="00B55ABF" w:rsidP="00997EF7">
                        <w:pPr>
                          <w:pStyle w:val="TableBody"/>
                          <w:tabs>
                            <w:tab w:val="left" w:pos="284"/>
                          </w:tabs>
                          <w:spacing w:line="240" w:lineRule="auto"/>
                          <w:ind w:left="0"/>
                          <w:jc w:val="right"/>
                          <w:rPr>
                            <w:rStyle w:val="SubtleEmphasis1"/>
                            <w:rFonts w:asciiTheme="minorHAnsi" w:eastAsia="MS Mincho" w:hAnsiTheme="minorHAnsi" w:cstheme="minorHAnsi"/>
                            <w:b/>
                            <w:i w:val="0"/>
                            <w:color w:val="auto"/>
                            <w:sz w:val="18"/>
                            <w:szCs w:val="18"/>
                            <w:lang w:eastAsia="en-US" w:bidi="en-US"/>
                          </w:rPr>
                        </w:pPr>
                        <w:r w:rsidRPr="00997EF7">
                          <w:rPr>
                            <w:rFonts w:ascii="Calibri" w:hAnsi="Calibri" w:cs="Calibri"/>
                            <w:b/>
                            <w:bCs/>
                            <w:color w:val="000000"/>
                            <w:sz w:val="18"/>
                            <w:szCs w:val="18"/>
                          </w:rPr>
                          <w:t xml:space="preserve">  86,234,633 </w:t>
                        </w:r>
                      </w:p>
                    </w:tc>
                    <w:tc>
                      <w:tcPr>
                        <w:tcW w:w="918" w:type="pct"/>
                        <w:tcBorders>
                          <w:top w:val="single" w:sz="4" w:space="0" w:color="auto"/>
                        </w:tcBorders>
                      </w:tcPr>
                      <w:p w14:paraId="21241DEC" w14:textId="5DB0D8AB" w:rsidR="00B55ABF" w:rsidRPr="00E036AA" w:rsidRDefault="00B55ABF" w:rsidP="00B55ABF">
                        <w:pPr>
                          <w:pStyle w:val="TableBody"/>
                          <w:tabs>
                            <w:tab w:val="left" w:pos="284"/>
                          </w:tabs>
                          <w:spacing w:line="240" w:lineRule="auto"/>
                          <w:ind w:left="0"/>
                          <w:jc w:val="right"/>
                          <w:rPr>
                            <w:rFonts w:asciiTheme="minorHAnsi" w:hAnsiTheme="minorHAnsi" w:cstheme="minorHAnsi"/>
                            <w:color w:val="auto"/>
                            <w:sz w:val="18"/>
                            <w:szCs w:val="18"/>
                            <w:lang w:val="en-GB"/>
                          </w:rPr>
                        </w:pPr>
                        <w:r w:rsidRPr="00E036AA">
                          <w:rPr>
                            <w:rFonts w:asciiTheme="minorHAnsi" w:hAnsiTheme="minorHAnsi" w:cstheme="minorHAnsi"/>
                            <w:color w:val="auto"/>
                            <w:sz w:val="18"/>
                            <w:szCs w:val="18"/>
                            <w:lang w:val="en-GB"/>
                          </w:rPr>
                          <w:t>85,333,766</w:t>
                        </w:r>
                      </w:p>
                    </w:tc>
                    <w:tc>
                      <w:tcPr>
                        <w:tcW w:w="918" w:type="pct"/>
                        <w:tcBorders>
                          <w:top w:val="single" w:sz="4" w:space="0" w:color="auto"/>
                        </w:tcBorders>
                        <w:shd w:val="clear" w:color="auto" w:fill="auto"/>
                        <w:vAlign w:val="bottom"/>
                      </w:tcPr>
                      <w:p w14:paraId="461F5439" w14:textId="3C9AFE8C" w:rsidR="00B55ABF" w:rsidRPr="00E036AA" w:rsidRDefault="00B55ABF" w:rsidP="00B55ABF">
                        <w:pPr>
                          <w:pStyle w:val="TableBody"/>
                          <w:tabs>
                            <w:tab w:val="left" w:pos="284"/>
                          </w:tabs>
                          <w:spacing w:line="240" w:lineRule="auto"/>
                          <w:ind w:left="0"/>
                          <w:jc w:val="right"/>
                          <w:rPr>
                            <w:rFonts w:asciiTheme="minorHAnsi" w:eastAsia="Times New Roman" w:hAnsiTheme="minorHAnsi" w:cstheme="minorHAnsi"/>
                            <w:color w:val="auto"/>
                            <w:sz w:val="18"/>
                            <w:szCs w:val="18"/>
                            <w:lang w:val="en-US" w:eastAsia="en-US" w:bidi="en-US"/>
                          </w:rPr>
                        </w:pPr>
                        <w:r w:rsidRPr="00E036AA">
                          <w:rPr>
                            <w:rFonts w:asciiTheme="minorHAnsi" w:hAnsiTheme="minorHAnsi" w:cstheme="minorHAnsi"/>
                            <w:color w:val="auto"/>
                            <w:sz w:val="18"/>
                            <w:szCs w:val="18"/>
                          </w:rPr>
                          <w:t xml:space="preserve">   86,353,827 </w:t>
                        </w:r>
                      </w:p>
                    </w:tc>
                  </w:tr>
                  <w:tr w:rsidR="00B55ABF" w:rsidRPr="00551D5A" w14:paraId="590CE720" w14:textId="77777777" w:rsidTr="00997EF7">
                    <w:trPr>
                      <w:trHeight w:val="243"/>
                    </w:trPr>
                    <w:tc>
                      <w:tcPr>
                        <w:tcW w:w="2247" w:type="pct"/>
                        <w:tcBorders>
                          <w:bottom w:val="single" w:sz="4" w:space="0" w:color="auto"/>
                        </w:tcBorders>
                        <w:shd w:val="clear" w:color="auto" w:fill="auto"/>
                      </w:tcPr>
                      <w:p w14:paraId="473A1290" w14:textId="77777777" w:rsidR="00B55ABF" w:rsidRPr="00551D5A" w:rsidRDefault="00B55ABF" w:rsidP="00997EF7">
                        <w:pPr>
                          <w:pStyle w:val="TableBody"/>
                          <w:tabs>
                            <w:tab w:val="left" w:pos="284"/>
                          </w:tabs>
                          <w:spacing w:line="240" w:lineRule="auto"/>
                          <w:ind w:left="0" w:hanging="68"/>
                          <w:jc w:val="both"/>
                          <w:rPr>
                            <w:rFonts w:asciiTheme="minorHAnsi" w:eastAsia="Times New Roman" w:hAnsiTheme="minorHAnsi" w:cstheme="minorHAnsi"/>
                            <w:color w:val="auto"/>
                            <w:sz w:val="18"/>
                            <w:szCs w:val="18"/>
                            <w:lang w:val="en-US" w:eastAsia="en-US" w:bidi="en-US"/>
                          </w:rPr>
                        </w:pPr>
                        <w:r w:rsidRPr="00551D5A">
                          <w:rPr>
                            <w:rFonts w:asciiTheme="minorHAnsi" w:eastAsia="Times New Roman" w:hAnsiTheme="minorHAnsi" w:cstheme="minorHAnsi"/>
                            <w:color w:val="auto"/>
                            <w:sz w:val="18"/>
                            <w:szCs w:val="18"/>
                            <w:lang w:val="en-US" w:eastAsia="en-US" w:bidi="en-US"/>
                          </w:rPr>
                          <w:t>Share options</w:t>
                        </w:r>
                      </w:p>
                    </w:tc>
                    <w:tc>
                      <w:tcPr>
                        <w:tcW w:w="918" w:type="pct"/>
                        <w:tcBorders>
                          <w:bottom w:val="single" w:sz="4" w:space="0" w:color="auto"/>
                        </w:tcBorders>
                        <w:shd w:val="clear" w:color="auto" w:fill="auto"/>
                        <w:vAlign w:val="bottom"/>
                      </w:tcPr>
                      <w:p w14:paraId="19E7020B" w14:textId="11BCBD57" w:rsidR="00B55ABF" w:rsidRPr="00E036AA" w:rsidRDefault="00B55ABF" w:rsidP="00997EF7">
                        <w:pPr>
                          <w:pStyle w:val="TableBody"/>
                          <w:tabs>
                            <w:tab w:val="left" w:pos="284"/>
                          </w:tabs>
                          <w:spacing w:line="240" w:lineRule="auto"/>
                          <w:ind w:left="0"/>
                          <w:jc w:val="right"/>
                          <w:rPr>
                            <w:rStyle w:val="SubtleEmphasis1"/>
                            <w:rFonts w:asciiTheme="minorHAnsi" w:eastAsia="MS Mincho" w:hAnsiTheme="minorHAnsi" w:cstheme="minorHAnsi"/>
                            <w:b/>
                            <w:i w:val="0"/>
                            <w:color w:val="auto"/>
                            <w:sz w:val="18"/>
                            <w:szCs w:val="18"/>
                            <w:lang w:eastAsia="en-US" w:bidi="en-US"/>
                          </w:rPr>
                        </w:pPr>
                        <w:r w:rsidRPr="00997EF7">
                          <w:rPr>
                            <w:rFonts w:ascii="Calibri" w:hAnsi="Calibri" w:cs="Calibri"/>
                            <w:color w:val="000000"/>
                            <w:sz w:val="18"/>
                            <w:szCs w:val="18"/>
                          </w:rPr>
                          <w:t xml:space="preserve">    1,924,065 </w:t>
                        </w:r>
                      </w:p>
                    </w:tc>
                    <w:tc>
                      <w:tcPr>
                        <w:tcW w:w="918" w:type="pct"/>
                        <w:tcBorders>
                          <w:bottom w:val="single" w:sz="4" w:space="0" w:color="auto"/>
                        </w:tcBorders>
                      </w:tcPr>
                      <w:p w14:paraId="734473B6" w14:textId="34E73C52" w:rsidR="00B55ABF" w:rsidRPr="00E036AA" w:rsidRDefault="00B55ABF" w:rsidP="00B55ABF">
                        <w:pPr>
                          <w:pStyle w:val="TableBody"/>
                          <w:tabs>
                            <w:tab w:val="left" w:pos="284"/>
                          </w:tabs>
                          <w:spacing w:line="240" w:lineRule="auto"/>
                          <w:ind w:left="0"/>
                          <w:jc w:val="right"/>
                          <w:rPr>
                            <w:rFonts w:asciiTheme="minorHAnsi" w:hAnsiTheme="minorHAnsi" w:cstheme="minorHAnsi"/>
                            <w:color w:val="auto"/>
                            <w:sz w:val="18"/>
                            <w:szCs w:val="18"/>
                            <w:lang w:val="en-GB"/>
                          </w:rPr>
                        </w:pPr>
                        <w:r w:rsidRPr="00E036AA">
                          <w:rPr>
                            <w:rFonts w:asciiTheme="minorHAnsi" w:hAnsiTheme="minorHAnsi" w:cstheme="minorHAnsi"/>
                            <w:color w:val="auto"/>
                            <w:sz w:val="18"/>
                            <w:szCs w:val="18"/>
                            <w:lang w:val="en-GB"/>
                          </w:rPr>
                          <w:t>4,159,769</w:t>
                        </w:r>
                      </w:p>
                    </w:tc>
                    <w:tc>
                      <w:tcPr>
                        <w:tcW w:w="918" w:type="pct"/>
                        <w:tcBorders>
                          <w:bottom w:val="single" w:sz="4" w:space="0" w:color="auto"/>
                        </w:tcBorders>
                        <w:shd w:val="clear" w:color="auto" w:fill="auto"/>
                        <w:vAlign w:val="bottom"/>
                      </w:tcPr>
                      <w:p w14:paraId="4E4630C5" w14:textId="019CB124" w:rsidR="00B55ABF" w:rsidRPr="00E036AA" w:rsidRDefault="00B55ABF" w:rsidP="00B55ABF">
                        <w:pPr>
                          <w:pStyle w:val="TableBody"/>
                          <w:tabs>
                            <w:tab w:val="left" w:pos="284"/>
                          </w:tabs>
                          <w:spacing w:line="240" w:lineRule="auto"/>
                          <w:ind w:left="0"/>
                          <w:jc w:val="right"/>
                          <w:rPr>
                            <w:rFonts w:asciiTheme="minorHAnsi" w:eastAsia="Times New Roman" w:hAnsiTheme="minorHAnsi" w:cstheme="minorHAnsi"/>
                            <w:color w:val="auto"/>
                            <w:sz w:val="18"/>
                            <w:szCs w:val="18"/>
                            <w:lang w:val="en-US" w:eastAsia="en-US" w:bidi="en-US"/>
                          </w:rPr>
                        </w:pPr>
                        <w:r w:rsidRPr="00E036AA">
                          <w:rPr>
                            <w:rFonts w:asciiTheme="minorHAnsi" w:hAnsiTheme="minorHAnsi" w:cstheme="minorHAnsi"/>
                            <w:color w:val="auto"/>
                            <w:sz w:val="18"/>
                            <w:szCs w:val="18"/>
                          </w:rPr>
                          <w:t xml:space="preserve">      2,580,825 </w:t>
                        </w:r>
                      </w:p>
                    </w:tc>
                  </w:tr>
                  <w:tr w:rsidR="00B55ABF" w:rsidRPr="00551D5A" w14:paraId="28233A44" w14:textId="77777777" w:rsidTr="00997EF7">
                    <w:trPr>
                      <w:trHeight w:val="227"/>
                    </w:trPr>
                    <w:tc>
                      <w:tcPr>
                        <w:tcW w:w="2247" w:type="pct"/>
                        <w:tcBorders>
                          <w:top w:val="single" w:sz="4" w:space="0" w:color="auto"/>
                          <w:bottom w:val="single" w:sz="4" w:space="0" w:color="auto"/>
                        </w:tcBorders>
                        <w:shd w:val="clear" w:color="auto" w:fill="auto"/>
                      </w:tcPr>
                      <w:p w14:paraId="5F0BA43E" w14:textId="77777777" w:rsidR="00B55ABF" w:rsidRPr="00551D5A" w:rsidRDefault="00B55ABF" w:rsidP="00997EF7">
                        <w:pPr>
                          <w:pStyle w:val="TableBody"/>
                          <w:tabs>
                            <w:tab w:val="left" w:pos="284"/>
                          </w:tabs>
                          <w:spacing w:line="240" w:lineRule="auto"/>
                          <w:ind w:left="0" w:hanging="68"/>
                          <w:jc w:val="both"/>
                          <w:rPr>
                            <w:rFonts w:asciiTheme="minorHAnsi" w:eastAsia="Times New Roman" w:hAnsiTheme="minorHAnsi" w:cstheme="minorHAnsi"/>
                            <w:color w:val="auto"/>
                            <w:sz w:val="18"/>
                            <w:szCs w:val="18"/>
                            <w:lang w:val="en-US" w:eastAsia="en-US" w:bidi="en-US"/>
                          </w:rPr>
                        </w:pPr>
                        <w:r w:rsidRPr="00551D5A">
                          <w:rPr>
                            <w:rFonts w:asciiTheme="minorHAnsi" w:eastAsia="Times New Roman" w:hAnsiTheme="minorHAnsi" w:cstheme="minorHAnsi"/>
                            <w:color w:val="auto"/>
                            <w:sz w:val="18"/>
                            <w:szCs w:val="18"/>
                            <w:lang w:val="en-US" w:eastAsia="en-US" w:bidi="en-US"/>
                          </w:rPr>
                          <w:t>Weighted average number of shares – diluted</w:t>
                        </w:r>
                      </w:p>
                    </w:tc>
                    <w:tc>
                      <w:tcPr>
                        <w:tcW w:w="918" w:type="pct"/>
                        <w:tcBorders>
                          <w:top w:val="single" w:sz="4" w:space="0" w:color="auto"/>
                          <w:bottom w:val="single" w:sz="4" w:space="0" w:color="auto"/>
                        </w:tcBorders>
                        <w:shd w:val="clear" w:color="auto" w:fill="auto"/>
                        <w:vAlign w:val="bottom"/>
                      </w:tcPr>
                      <w:p w14:paraId="5CA8D4C2" w14:textId="10B86975" w:rsidR="00B55ABF" w:rsidRPr="00E036AA" w:rsidRDefault="00B55ABF" w:rsidP="00997EF7">
                        <w:pPr>
                          <w:pStyle w:val="TableBody"/>
                          <w:tabs>
                            <w:tab w:val="left" w:pos="284"/>
                          </w:tabs>
                          <w:spacing w:line="240" w:lineRule="auto"/>
                          <w:ind w:left="0"/>
                          <w:jc w:val="right"/>
                          <w:rPr>
                            <w:rStyle w:val="SubtleEmphasis1"/>
                            <w:rFonts w:asciiTheme="minorHAnsi" w:eastAsia="MS Mincho" w:hAnsiTheme="minorHAnsi" w:cstheme="minorHAnsi"/>
                            <w:b/>
                            <w:i w:val="0"/>
                            <w:color w:val="auto"/>
                            <w:sz w:val="18"/>
                            <w:szCs w:val="18"/>
                            <w:lang w:eastAsia="en-US" w:bidi="en-US"/>
                          </w:rPr>
                        </w:pPr>
                        <w:r w:rsidRPr="00997EF7">
                          <w:rPr>
                            <w:rFonts w:ascii="Calibri" w:hAnsi="Calibri" w:cs="Calibri"/>
                            <w:b/>
                            <w:bCs/>
                            <w:color w:val="000000"/>
                            <w:sz w:val="18"/>
                            <w:szCs w:val="18"/>
                          </w:rPr>
                          <w:t xml:space="preserve">  88,158,698 </w:t>
                        </w:r>
                      </w:p>
                    </w:tc>
                    <w:tc>
                      <w:tcPr>
                        <w:tcW w:w="918" w:type="pct"/>
                        <w:tcBorders>
                          <w:top w:val="single" w:sz="4" w:space="0" w:color="auto"/>
                          <w:bottom w:val="single" w:sz="4" w:space="0" w:color="auto"/>
                        </w:tcBorders>
                      </w:tcPr>
                      <w:p w14:paraId="4A705851" w14:textId="084C5D7F" w:rsidR="00B55ABF" w:rsidRPr="00E036AA" w:rsidRDefault="00B55ABF" w:rsidP="00B55ABF">
                        <w:pPr>
                          <w:pStyle w:val="TableBody"/>
                          <w:tabs>
                            <w:tab w:val="left" w:pos="284"/>
                          </w:tabs>
                          <w:spacing w:line="240" w:lineRule="auto"/>
                          <w:ind w:left="0"/>
                          <w:jc w:val="right"/>
                          <w:rPr>
                            <w:rFonts w:asciiTheme="minorHAnsi" w:hAnsiTheme="minorHAnsi" w:cstheme="minorHAnsi"/>
                            <w:color w:val="auto"/>
                            <w:sz w:val="18"/>
                            <w:szCs w:val="18"/>
                            <w:lang w:val="en-GB"/>
                          </w:rPr>
                        </w:pPr>
                        <w:r w:rsidRPr="00E036AA">
                          <w:rPr>
                            <w:rFonts w:asciiTheme="minorHAnsi" w:hAnsiTheme="minorHAnsi" w:cstheme="minorHAnsi"/>
                            <w:color w:val="auto"/>
                            <w:sz w:val="18"/>
                            <w:szCs w:val="18"/>
                            <w:lang w:val="en-GB"/>
                          </w:rPr>
                          <w:t>89,493,535</w:t>
                        </w:r>
                      </w:p>
                    </w:tc>
                    <w:tc>
                      <w:tcPr>
                        <w:tcW w:w="918" w:type="pct"/>
                        <w:tcBorders>
                          <w:top w:val="single" w:sz="4" w:space="0" w:color="auto"/>
                          <w:bottom w:val="single" w:sz="4" w:space="0" w:color="auto"/>
                        </w:tcBorders>
                        <w:shd w:val="clear" w:color="auto" w:fill="auto"/>
                        <w:vAlign w:val="bottom"/>
                      </w:tcPr>
                      <w:p w14:paraId="53F70871" w14:textId="241811D2" w:rsidR="00B55ABF" w:rsidRPr="00E036AA" w:rsidRDefault="00B55ABF" w:rsidP="00B55ABF">
                        <w:pPr>
                          <w:pStyle w:val="TableBody"/>
                          <w:tabs>
                            <w:tab w:val="left" w:pos="284"/>
                          </w:tabs>
                          <w:spacing w:line="240" w:lineRule="auto"/>
                          <w:ind w:left="0"/>
                          <w:jc w:val="right"/>
                          <w:rPr>
                            <w:rFonts w:asciiTheme="minorHAnsi" w:eastAsia="Times New Roman" w:hAnsiTheme="minorHAnsi" w:cstheme="minorHAnsi"/>
                            <w:color w:val="auto"/>
                            <w:sz w:val="18"/>
                            <w:szCs w:val="18"/>
                            <w:lang w:val="en-US" w:eastAsia="en-US" w:bidi="en-US"/>
                          </w:rPr>
                        </w:pPr>
                        <w:r w:rsidRPr="00E036AA">
                          <w:rPr>
                            <w:rFonts w:asciiTheme="minorHAnsi" w:hAnsiTheme="minorHAnsi" w:cstheme="minorHAnsi"/>
                            <w:color w:val="auto"/>
                            <w:sz w:val="18"/>
                            <w:szCs w:val="18"/>
                          </w:rPr>
                          <w:t xml:space="preserve">   88,934,652 </w:t>
                        </w:r>
                      </w:p>
                    </w:tc>
                  </w:tr>
                  <w:tr w:rsidR="00BC25D7" w:rsidRPr="00551D5A" w14:paraId="7C926449" w14:textId="77777777" w:rsidTr="00997EF7">
                    <w:trPr>
                      <w:trHeight w:val="227"/>
                    </w:trPr>
                    <w:tc>
                      <w:tcPr>
                        <w:tcW w:w="2247" w:type="pct"/>
                        <w:tcBorders>
                          <w:top w:val="single" w:sz="4" w:space="0" w:color="auto"/>
                          <w:bottom w:val="single" w:sz="4" w:space="0" w:color="auto"/>
                        </w:tcBorders>
                        <w:shd w:val="clear" w:color="auto" w:fill="auto"/>
                      </w:tcPr>
                      <w:p w14:paraId="6A7F1678" w14:textId="77777777" w:rsidR="00BC25D7" w:rsidRPr="00551D5A" w:rsidRDefault="00BC25D7" w:rsidP="00997EF7">
                        <w:pPr>
                          <w:pStyle w:val="TableBody"/>
                          <w:tabs>
                            <w:tab w:val="left" w:pos="284"/>
                          </w:tabs>
                          <w:spacing w:line="240" w:lineRule="auto"/>
                          <w:ind w:left="0" w:hanging="68"/>
                          <w:jc w:val="both"/>
                          <w:rPr>
                            <w:rFonts w:asciiTheme="minorHAnsi" w:eastAsia="Times New Roman" w:hAnsiTheme="minorHAnsi" w:cstheme="minorHAnsi"/>
                            <w:color w:val="auto"/>
                            <w:sz w:val="18"/>
                            <w:szCs w:val="18"/>
                            <w:lang w:val="en-US" w:eastAsia="en-US" w:bidi="en-US"/>
                          </w:rPr>
                        </w:pPr>
                      </w:p>
                    </w:tc>
                    <w:tc>
                      <w:tcPr>
                        <w:tcW w:w="918" w:type="pct"/>
                        <w:tcBorders>
                          <w:top w:val="single" w:sz="4" w:space="0" w:color="auto"/>
                          <w:bottom w:val="single" w:sz="4" w:space="0" w:color="auto"/>
                        </w:tcBorders>
                        <w:shd w:val="clear" w:color="auto" w:fill="auto"/>
                      </w:tcPr>
                      <w:p w14:paraId="288DFCA5" w14:textId="5C773CE5" w:rsidR="00BC25D7" w:rsidRPr="008B47AB" w:rsidRDefault="00FE0999" w:rsidP="008B47AB">
                        <w:pPr>
                          <w:pStyle w:val="TableBody"/>
                          <w:tabs>
                            <w:tab w:val="left" w:pos="284"/>
                          </w:tabs>
                          <w:spacing w:line="240" w:lineRule="auto"/>
                          <w:ind w:left="0"/>
                          <w:jc w:val="right"/>
                          <w:rPr>
                            <w:rStyle w:val="SubtleEmphasis1"/>
                            <w:rFonts w:asciiTheme="minorHAnsi" w:eastAsia="MS Mincho" w:hAnsiTheme="minorHAnsi" w:cstheme="minorHAnsi"/>
                            <w:bCs/>
                            <w:i w:val="0"/>
                            <w:color w:val="auto"/>
                            <w:sz w:val="18"/>
                            <w:szCs w:val="18"/>
                            <w:lang w:eastAsia="en-US" w:bidi="en-US"/>
                          </w:rPr>
                        </w:pPr>
                        <w:r w:rsidRPr="008B47AB">
                          <w:rPr>
                            <w:rStyle w:val="SubtleEmphasis1"/>
                            <w:rFonts w:asciiTheme="minorHAnsi" w:eastAsia="MS Mincho" w:hAnsiTheme="minorHAnsi" w:cstheme="minorHAnsi"/>
                            <w:bCs/>
                            <w:i w:val="0"/>
                            <w:color w:val="auto"/>
                            <w:sz w:val="18"/>
                            <w:szCs w:val="18"/>
                            <w:lang w:eastAsia="en-US" w:bidi="en-US"/>
                          </w:rPr>
                          <w:t>Pence</w:t>
                        </w:r>
                      </w:p>
                    </w:tc>
                    <w:tc>
                      <w:tcPr>
                        <w:tcW w:w="918" w:type="pct"/>
                        <w:tcBorders>
                          <w:top w:val="single" w:sz="4" w:space="0" w:color="auto"/>
                          <w:bottom w:val="single" w:sz="4" w:space="0" w:color="auto"/>
                        </w:tcBorders>
                      </w:tcPr>
                      <w:p w14:paraId="3228776C" w14:textId="2CCA9A39" w:rsidR="00BC25D7" w:rsidRPr="008B47AB" w:rsidRDefault="00FE0999" w:rsidP="00BC25D7">
                        <w:pPr>
                          <w:pStyle w:val="TableBody"/>
                          <w:tabs>
                            <w:tab w:val="left" w:pos="284"/>
                          </w:tabs>
                          <w:spacing w:line="240" w:lineRule="auto"/>
                          <w:ind w:left="0"/>
                          <w:jc w:val="right"/>
                          <w:rPr>
                            <w:rFonts w:asciiTheme="minorHAnsi" w:eastAsia="Times New Roman" w:hAnsiTheme="minorHAnsi" w:cstheme="minorHAnsi"/>
                            <w:bCs/>
                            <w:color w:val="auto"/>
                            <w:sz w:val="18"/>
                            <w:szCs w:val="18"/>
                            <w:lang w:val="en-US" w:eastAsia="en-US" w:bidi="en-US"/>
                          </w:rPr>
                        </w:pPr>
                        <w:r w:rsidRPr="008B47AB">
                          <w:rPr>
                            <w:rFonts w:asciiTheme="minorHAnsi" w:eastAsia="Times New Roman" w:hAnsiTheme="minorHAnsi" w:cstheme="minorHAnsi"/>
                            <w:bCs/>
                            <w:color w:val="auto"/>
                            <w:sz w:val="18"/>
                            <w:szCs w:val="18"/>
                            <w:lang w:val="en-US" w:eastAsia="en-US" w:bidi="en-US"/>
                          </w:rPr>
                          <w:t>Pence</w:t>
                        </w:r>
                      </w:p>
                    </w:tc>
                    <w:tc>
                      <w:tcPr>
                        <w:tcW w:w="918" w:type="pct"/>
                        <w:tcBorders>
                          <w:top w:val="single" w:sz="4" w:space="0" w:color="auto"/>
                          <w:bottom w:val="single" w:sz="4" w:space="0" w:color="auto"/>
                        </w:tcBorders>
                        <w:shd w:val="clear" w:color="auto" w:fill="auto"/>
                      </w:tcPr>
                      <w:p w14:paraId="6A2213DD" w14:textId="52F8E9A6" w:rsidR="00BC25D7" w:rsidRPr="00FE0999" w:rsidRDefault="00BC25D7" w:rsidP="00BC25D7">
                        <w:pPr>
                          <w:pStyle w:val="TableBody"/>
                          <w:tabs>
                            <w:tab w:val="left" w:pos="284"/>
                          </w:tabs>
                          <w:spacing w:line="240" w:lineRule="auto"/>
                          <w:ind w:left="0"/>
                          <w:jc w:val="right"/>
                          <w:rPr>
                            <w:rFonts w:asciiTheme="minorHAnsi" w:eastAsia="Times New Roman" w:hAnsiTheme="minorHAnsi" w:cstheme="minorHAnsi"/>
                            <w:bCs/>
                            <w:color w:val="auto"/>
                            <w:sz w:val="18"/>
                            <w:szCs w:val="18"/>
                            <w:lang w:val="en-US" w:eastAsia="en-US" w:bidi="en-US"/>
                          </w:rPr>
                        </w:pPr>
                        <w:r w:rsidRPr="00FE0999">
                          <w:rPr>
                            <w:rFonts w:asciiTheme="minorHAnsi" w:eastAsia="Times New Roman" w:hAnsiTheme="minorHAnsi" w:cstheme="minorHAnsi"/>
                            <w:bCs/>
                            <w:color w:val="auto"/>
                            <w:sz w:val="18"/>
                            <w:szCs w:val="18"/>
                            <w:lang w:val="en-US" w:eastAsia="en-US" w:bidi="en-US"/>
                          </w:rPr>
                          <w:t>Pence</w:t>
                        </w:r>
                      </w:p>
                    </w:tc>
                  </w:tr>
                  <w:tr w:rsidR="00BC25D7" w:rsidRPr="00551D5A" w14:paraId="671B77E5" w14:textId="77777777" w:rsidTr="00997EF7">
                    <w:trPr>
                      <w:trHeight w:val="243"/>
                    </w:trPr>
                    <w:tc>
                      <w:tcPr>
                        <w:tcW w:w="2247" w:type="pct"/>
                        <w:tcBorders>
                          <w:top w:val="single" w:sz="4" w:space="0" w:color="auto"/>
                          <w:bottom w:val="double" w:sz="4" w:space="0" w:color="auto"/>
                        </w:tcBorders>
                        <w:shd w:val="clear" w:color="auto" w:fill="auto"/>
                      </w:tcPr>
                      <w:p w14:paraId="171E4A45" w14:textId="77777777" w:rsidR="00BC25D7" w:rsidRPr="00551D5A" w:rsidRDefault="00BC25D7" w:rsidP="00997EF7">
                        <w:pPr>
                          <w:pStyle w:val="TableBody"/>
                          <w:tabs>
                            <w:tab w:val="left" w:pos="284"/>
                          </w:tabs>
                          <w:spacing w:line="240" w:lineRule="auto"/>
                          <w:ind w:left="0" w:hanging="68"/>
                          <w:jc w:val="both"/>
                          <w:rPr>
                            <w:rFonts w:asciiTheme="minorHAnsi" w:eastAsia="Times New Roman" w:hAnsiTheme="minorHAnsi" w:cstheme="minorHAnsi"/>
                            <w:color w:val="auto"/>
                            <w:sz w:val="18"/>
                            <w:szCs w:val="18"/>
                            <w:lang w:val="en-US" w:eastAsia="en-US" w:bidi="en-US"/>
                          </w:rPr>
                        </w:pPr>
                        <w:r w:rsidRPr="00551D5A">
                          <w:rPr>
                            <w:rFonts w:asciiTheme="minorHAnsi" w:eastAsia="Times New Roman" w:hAnsiTheme="minorHAnsi" w:cstheme="minorHAnsi"/>
                            <w:color w:val="auto"/>
                            <w:sz w:val="18"/>
                            <w:szCs w:val="18"/>
                            <w:lang w:val="en-US" w:eastAsia="en-US" w:bidi="en-US"/>
                          </w:rPr>
                          <w:t>Earnings per share – basic</w:t>
                        </w:r>
                      </w:p>
                    </w:tc>
                    <w:tc>
                      <w:tcPr>
                        <w:tcW w:w="918" w:type="pct"/>
                        <w:tcBorders>
                          <w:top w:val="single" w:sz="4" w:space="0" w:color="auto"/>
                          <w:bottom w:val="double" w:sz="4" w:space="0" w:color="auto"/>
                        </w:tcBorders>
                        <w:shd w:val="clear" w:color="auto" w:fill="auto"/>
                      </w:tcPr>
                      <w:p w14:paraId="0013F563" w14:textId="6280A35E" w:rsidR="00BC25D7" w:rsidRPr="00E036AA" w:rsidRDefault="00B55ABF" w:rsidP="00997EF7">
                        <w:pPr>
                          <w:pStyle w:val="TableBody"/>
                          <w:tabs>
                            <w:tab w:val="left" w:pos="284"/>
                          </w:tabs>
                          <w:spacing w:line="240" w:lineRule="auto"/>
                          <w:ind w:left="0"/>
                          <w:jc w:val="right"/>
                          <w:rPr>
                            <w:rStyle w:val="SubtleEmphasis1"/>
                            <w:rFonts w:asciiTheme="minorHAnsi" w:eastAsia="MS Mincho" w:hAnsiTheme="minorHAnsi" w:cstheme="minorHAnsi"/>
                            <w:b/>
                            <w:i w:val="0"/>
                            <w:color w:val="auto"/>
                            <w:sz w:val="18"/>
                            <w:szCs w:val="18"/>
                            <w:lang w:eastAsia="en-US" w:bidi="en-US"/>
                          </w:rPr>
                        </w:pPr>
                        <w:r w:rsidRPr="00E036AA">
                          <w:rPr>
                            <w:rStyle w:val="SubtleEmphasis1"/>
                            <w:rFonts w:asciiTheme="minorHAnsi" w:eastAsia="MS Mincho" w:hAnsiTheme="minorHAnsi" w:cstheme="minorHAnsi"/>
                            <w:b/>
                            <w:i w:val="0"/>
                            <w:color w:val="auto"/>
                            <w:sz w:val="18"/>
                            <w:szCs w:val="18"/>
                            <w:lang w:eastAsia="en-US" w:bidi="en-US"/>
                          </w:rPr>
                          <w:t>8.4</w:t>
                        </w:r>
                      </w:p>
                    </w:tc>
                    <w:tc>
                      <w:tcPr>
                        <w:tcW w:w="918" w:type="pct"/>
                        <w:tcBorders>
                          <w:top w:val="single" w:sz="4" w:space="0" w:color="auto"/>
                          <w:bottom w:val="double" w:sz="4" w:space="0" w:color="auto"/>
                        </w:tcBorders>
                      </w:tcPr>
                      <w:p w14:paraId="4C7E9680" w14:textId="3B8B7A3B" w:rsidR="00BC25D7" w:rsidRPr="00E036AA" w:rsidRDefault="00BC25D7" w:rsidP="00BC25D7">
                        <w:pPr>
                          <w:pStyle w:val="TableBody"/>
                          <w:tabs>
                            <w:tab w:val="left" w:pos="284"/>
                          </w:tabs>
                          <w:spacing w:line="240" w:lineRule="auto"/>
                          <w:ind w:left="0"/>
                          <w:jc w:val="right"/>
                          <w:rPr>
                            <w:rFonts w:asciiTheme="minorHAnsi" w:eastAsia="Times New Roman" w:hAnsiTheme="minorHAnsi" w:cstheme="minorHAnsi"/>
                            <w:color w:val="auto"/>
                            <w:sz w:val="18"/>
                            <w:szCs w:val="18"/>
                            <w:lang w:val="en-US" w:eastAsia="en-US" w:bidi="en-US"/>
                          </w:rPr>
                        </w:pPr>
                        <w:r w:rsidRPr="00E036AA">
                          <w:rPr>
                            <w:rFonts w:asciiTheme="minorHAnsi" w:eastAsia="Times New Roman" w:hAnsiTheme="minorHAnsi" w:cstheme="minorHAnsi"/>
                            <w:color w:val="auto"/>
                            <w:sz w:val="18"/>
                            <w:szCs w:val="18"/>
                            <w:lang w:val="en-US" w:eastAsia="en-US" w:bidi="en-US"/>
                          </w:rPr>
                          <w:t>8.9</w:t>
                        </w:r>
                      </w:p>
                    </w:tc>
                    <w:tc>
                      <w:tcPr>
                        <w:tcW w:w="918" w:type="pct"/>
                        <w:tcBorders>
                          <w:top w:val="single" w:sz="4" w:space="0" w:color="auto"/>
                          <w:bottom w:val="double" w:sz="4" w:space="0" w:color="auto"/>
                        </w:tcBorders>
                        <w:shd w:val="clear" w:color="auto" w:fill="auto"/>
                      </w:tcPr>
                      <w:p w14:paraId="18B992E9" w14:textId="557A3636" w:rsidR="00BC25D7" w:rsidRPr="00E036AA" w:rsidRDefault="00BC25D7" w:rsidP="00BC25D7">
                        <w:pPr>
                          <w:pStyle w:val="TableBody"/>
                          <w:tabs>
                            <w:tab w:val="left" w:pos="284"/>
                          </w:tabs>
                          <w:spacing w:line="240" w:lineRule="auto"/>
                          <w:ind w:left="0"/>
                          <w:jc w:val="right"/>
                          <w:rPr>
                            <w:rFonts w:asciiTheme="minorHAnsi" w:eastAsia="Times New Roman" w:hAnsiTheme="minorHAnsi" w:cstheme="minorHAnsi"/>
                            <w:color w:val="auto"/>
                            <w:sz w:val="18"/>
                            <w:szCs w:val="18"/>
                            <w:lang w:val="en-US" w:eastAsia="en-US" w:bidi="en-US"/>
                          </w:rPr>
                        </w:pPr>
                        <w:r w:rsidRPr="00E036AA">
                          <w:rPr>
                            <w:rFonts w:asciiTheme="minorHAnsi" w:eastAsia="Times New Roman" w:hAnsiTheme="minorHAnsi" w:cstheme="minorHAnsi"/>
                            <w:color w:val="auto"/>
                            <w:sz w:val="18"/>
                            <w:szCs w:val="18"/>
                            <w:lang w:val="en-US" w:eastAsia="en-US" w:bidi="en-US"/>
                          </w:rPr>
                          <w:t>14.3</w:t>
                        </w:r>
                      </w:p>
                    </w:tc>
                  </w:tr>
                  <w:tr w:rsidR="00BC25D7" w:rsidRPr="00551D5A" w14:paraId="1F71A7D8" w14:textId="77777777" w:rsidTr="00997EF7">
                    <w:trPr>
                      <w:trHeight w:val="227"/>
                    </w:trPr>
                    <w:tc>
                      <w:tcPr>
                        <w:tcW w:w="2247" w:type="pct"/>
                        <w:tcBorders>
                          <w:top w:val="single" w:sz="4" w:space="0" w:color="auto"/>
                          <w:bottom w:val="double" w:sz="4" w:space="0" w:color="auto"/>
                        </w:tcBorders>
                        <w:shd w:val="clear" w:color="auto" w:fill="auto"/>
                      </w:tcPr>
                      <w:p w14:paraId="23D37F22" w14:textId="77777777" w:rsidR="00BC25D7" w:rsidRPr="00551D5A" w:rsidRDefault="00BC25D7" w:rsidP="00997EF7">
                        <w:pPr>
                          <w:pStyle w:val="TableBody"/>
                          <w:tabs>
                            <w:tab w:val="left" w:pos="284"/>
                          </w:tabs>
                          <w:spacing w:line="240" w:lineRule="auto"/>
                          <w:ind w:left="0" w:hanging="68"/>
                          <w:jc w:val="both"/>
                          <w:rPr>
                            <w:rFonts w:asciiTheme="minorHAnsi" w:eastAsia="Times New Roman" w:hAnsiTheme="minorHAnsi" w:cstheme="minorHAnsi"/>
                            <w:color w:val="auto"/>
                            <w:sz w:val="18"/>
                            <w:szCs w:val="18"/>
                            <w:lang w:val="en-US" w:eastAsia="en-US" w:bidi="en-US"/>
                          </w:rPr>
                        </w:pPr>
                        <w:r w:rsidRPr="00551D5A">
                          <w:rPr>
                            <w:rFonts w:asciiTheme="minorHAnsi" w:eastAsia="Times New Roman" w:hAnsiTheme="minorHAnsi" w:cstheme="minorHAnsi"/>
                            <w:color w:val="auto"/>
                            <w:sz w:val="18"/>
                            <w:szCs w:val="18"/>
                            <w:lang w:val="en-US" w:eastAsia="en-US" w:bidi="en-US"/>
                          </w:rPr>
                          <w:t>Earnings per share – diluted</w:t>
                        </w:r>
                      </w:p>
                    </w:tc>
                    <w:tc>
                      <w:tcPr>
                        <w:tcW w:w="918" w:type="pct"/>
                        <w:tcBorders>
                          <w:top w:val="single" w:sz="4" w:space="0" w:color="auto"/>
                          <w:bottom w:val="double" w:sz="4" w:space="0" w:color="auto"/>
                        </w:tcBorders>
                        <w:shd w:val="clear" w:color="auto" w:fill="auto"/>
                      </w:tcPr>
                      <w:p w14:paraId="03C10742" w14:textId="0BF026B1" w:rsidR="00BC25D7" w:rsidRPr="00E036AA" w:rsidRDefault="00B55ABF" w:rsidP="00997EF7">
                        <w:pPr>
                          <w:pStyle w:val="TableBody"/>
                          <w:tabs>
                            <w:tab w:val="left" w:pos="284"/>
                          </w:tabs>
                          <w:spacing w:line="240" w:lineRule="auto"/>
                          <w:ind w:left="0"/>
                          <w:jc w:val="right"/>
                          <w:rPr>
                            <w:rStyle w:val="SubtleEmphasis1"/>
                            <w:rFonts w:asciiTheme="minorHAnsi" w:eastAsia="MS Mincho" w:hAnsiTheme="minorHAnsi" w:cstheme="minorHAnsi"/>
                            <w:b/>
                            <w:i w:val="0"/>
                            <w:color w:val="auto"/>
                            <w:sz w:val="18"/>
                            <w:szCs w:val="18"/>
                            <w:lang w:eastAsia="en-US" w:bidi="en-US"/>
                          </w:rPr>
                        </w:pPr>
                        <w:r w:rsidRPr="00E036AA">
                          <w:rPr>
                            <w:rStyle w:val="SubtleEmphasis1"/>
                            <w:rFonts w:asciiTheme="minorHAnsi" w:eastAsia="MS Mincho" w:hAnsiTheme="minorHAnsi" w:cstheme="minorHAnsi"/>
                            <w:b/>
                            <w:i w:val="0"/>
                            <w:color w:val="auto"/>
                            <w:sz w:val="18"/>
                            <w:szCs w:val="18"/>
                            <w:lang w:eastAsia="en-US" w:bidi="en-US"/>
                          </w:rPr>
                          <w:t>8.3</w:t>
                        </w:r>
                      </w:p>
                    </w:tc>
                    <w:tc>
                      <w:tcPr>
                        <w:tcW w:w="918" w:type="pct"/>
                        <w:tcBorders>
                          <w:top w:val="single" w:sz="4" w:space="0" w:color="auto"/>
                          <w:bottom w:val="double" w:sz="4" w:space="0" w:color="auto"/>
                        </w:tcBorders>
                      </w:tcPr>
                      <w:p w14:paraId="24427276" w14:textId="602409DF" w:rsidR="00BC25D7" w:rsidRPr="00E036AA" w:rsidRDefault="00BC25D7" w:rsidP="00BC25D7">
                        <w:pPr>
                          <w:pStyle w:val="TableBody"/>
                          <w:tabs>
                            <w:tab w:val="left" w:pos="284"/>
                          </w:tabs>
                          <w:spacing w:line="240" w:lineRule="auto"/>
                          <w:ind w:left="0"/>
                          <w:jc w:val="right"/>
                          <w:rPr>
                            <w:rFonts w:asciiTheme="minorHAnsi" w:eastAsia="Times New Roman" w:hAnsiTheme="minorHAnsi" w:cstheme="minorHAnsi"/>
                            <w:color w:val="auto"/>
                            <w:sz w:val="18"/>
                            <w:szCs w:val="18"/>
                            <w:lang w:val="en-US" w:eastAsia="en-US" w:bidi="en-US"/>
                          </w:rPr>
                        </w:pPr>
                        <w:r w:rsidRPr="00E036AA">
                          <w:rPr>
                            <w:rFonts w:asciiTheme="minorHAnsi" w:eastAsia="Times New Roman" w:hAnsiTheme="minorHAnsi" w:cstheme="minorHAnsi"/>
                            <w:color w:val="auto"/>
                            <w:sz w:val="18"/>
                            <w:szCs w:val="18"/>
                            <w:lang w:val="en-US" w:eastAsia="en-US" w:bidi="en-US"/>
                          </w:rPr>
                          <w:t>8.5</w:t>
                        </w:r>
                      </w:p>
                    </w:tc>
                    <w:tc>
                      <w:tcPr>
                        <w:tcW w:w="918" w:type="pct"/>
                        <w:tcBorders>
                          <w:top w:val="single" w:sz="4" w:space="0" w:color="auto"/>
                          <w:bottom w:val="double" w:sz="4" w:space="0" w:color="auto"/>
                        </w:tcBorders>
                        <w:shd w:val="clear" w:color="auto" w:fill="auto"/>
                      </w:tcPr>
                      <w:p w14:paraId="1F402288" w14:textId="2F608105" w:rsidR="00BC25D7" w:rsidRPr="00E036AA" w:rsidRDefault="00BC25D7" w:rsidP="00BC25D7">
                        <w:pPr>
                          <w:pStyle w:val="TableBody"/>
                          <w:tabs>
                            <w:tab w:val="left" w:pos="284"/>
                          </w:tabs>
                          <w:spacing w:line="240" w:lineRule="auto"/>
                          <w:ind w:left="0"/>
                          <w:jc w:val="right"/>
                          <w:rPr>
                            <w:rFonts w:asciiTheme="minorHAnsi" w:eastAsia="Times New Roman" w:hAnsiTheme="minorHAnsi" w:cstheme="minorHAnsi"/>
                            <w:color w:val="auto"/>
                            <w:sz w:val="18"/>
                            <w:szCs w:val="18"/>
                            <w:lang w:val="en-US" w:eastAsia="en-US" w:bidi="en-US"/>
                          </w:rPr>
                        </w:pPr>
                        <w:r w:rsidRPr="00E036AA">
                          <w:rPr>
                            <w:rFonts w:asciiTheme="minorHAnsi" w:eastAsia="Times New Roman" w:hAnsiTheme="minorHAnsi" w:cstheme="minorHAnsi"/>
                            <w:color w:val="auto"/>
                            <w:sz w:val="18"/>
                            <w:szCs w:val="18"/>
                            <w:lang w:val="en-US" w:eastAsia="en-US" w:bidi="en-US"/>
                          </w:rPr>
                          <w:t>13.9</w:t>
                        </w:r>
                      </w:p>
                    </w:tc>
                  </w:tr>
                </w:tbl>
                <w:p w14:paraId="7CD967AD" w14:textId="479C9DAF" w:rsidR="005C32FB" w:rsidRDefault="005C32FB" w:rsidP="00742765">
                  <w:pPr>
                    <w:widowControl w:val="0"/>
                    <w:tabs>
                      <w:tab w:val="left" w:pos="464"/>
                    </w:tabs>
                    <w:autoSpaceDE w:val="0"/>
                    <w:autoSpaceDN w:val="0"/>
                    <w:adjustRightInd w:val="0"/>
                    <w:spacing w:after="0" w:line="240" w:lineRule="auto"/>
                    <w:jc w:val="both"/>
                    <w:rPr>
                      <w:rFonts w:asciiTheme="minorHAnsi" w:hAnsiTheme="minorHAnsi" w:cstheme="minorHAnsi"/>
                      <w:b/>
                      <w:color w:val="000000"/>
                      <w:sz w:val="18"/>
                      <w:szCs w:val="18"/>
                      <w:lang w:bidi="en-US"/>
                    </w:rPr>
                  </w:pPr>
                </w:p>
                <w:p w14:paraId="5E5A2002" w14:textId="68ABF602" w:rsidR="004C1114" w:rsidRDefault="004C1114" w:rsidP="00742765">
                  <w:pPr>
                    <w:widowControl w:val="0"/>
                    <w:tabs>
                      <w:tab w:val="left" w:pos="464"/>
                    </w:tabs>
                    <w:autoSpaceDE w:val="0"/>
                    <w:autoSpaceDN w:val="0"/>
                    <w:adjustRightInd w:val="0"/>
                    <w:spacing w:after="0" w:line="240" w:lineRule="auto"/>
                    <w:jc w:val="both"/>
                    <w:rPr>
                      <w:rFonts w:asciiTheme="minorHAnsi" w:hAnsiTheme="minorHAnsi" w:cstheme="minorHAnsi"/>
                      <w:b/>
                      <w:color w:val="000000"/>
                      <w:sz w:val="18"/>
                      <w:szCs w:val="18"/>
                      <w:lang w:bidi="en-US"/>
                    </w:rPr>
                  </w:pPr>
                </w:p>
                <w:p w14:paraId="2809A469" w14:textId="3126E09F" w:rsidR="004C1114" w:rsidRDefault="004C1114" w:rsidP="00742765">
                  <w:pPr>
                    <w:widowControl w:val="0"/>
                    <w:tabs>
                      <w:tab w:val="left" w:pos="464"/>
                    </w:tabs>
                    <w:autoSpaceDE w:val="0"/>
                    <w:autoSpaceDN w:val="0"/>
                    <w:adjustRightInd w:val="0"/>
                    <w:spacing w:after="0" w:line="240" w:lineRule="auto"/>
                    <w:jc w:val="both"/>
                    <w:rPr>
                      <w:rFonts w:asciiTheme="minorHAnsi" w:hAnsiTheme="minorHAnsi" w:cstheme="minorHAnsi"/>
                      <w:b/>
                      <w:color w:val="000000"/>
                      <w:sz w:val="18"/>
                      <w:szCs w:val="18"/>
                      <w:lang w:bidi="en-US"/>
                    </w:rPr>
                  </w:pPr>
                </w:p>
                <w:p w14:paraId="22CF2EBE" w14:textId="77777777" w:rsidR="00BC25D7" w:rsidRPr="00846EEE" w:rsidRDefault="00BC25D7" w:rsidP="00846EEE">
                  <w:pPr>
                    <w:widowControl w:val="0"/>
                    <w:tabs>
                      <w:tab w:val="left" w:pos="464"/>
                    </w:tabs>
                    <w:autoSpaceDE w:val="0"/>
                    <w:autoSpaceDN w:val="0"/>
                    <w:adjustRightInd w:val="0"/>
                    <w:spacing w:after="0" w:line="240" w:lineRule="auto"/>
                    <w:jc w:val="both"/>
                    <w:rPr>
                      <w:rFonts w:asciiTheme="minorHAnsi" w:hAnsiTheme="minorHAnsi" w:cstheme="minorHAnsi"/>
                      <w:b/>
                      <w:color w:val="000000"/>
                      <w:sz w:val="18"/>
                      <w:szCs w:val="18"/>
                      <w:lang w:bidi="en-US"/>
                    </w:rPr>
                  </w:pPr>
                </w:p>
                <w:p w14:paraId="3B6B653D" w14:textId="05075E56" w:rsidR="00816F21" w:rsidRPr="00846EEE" w:rsidRDefault="00004C7C" w:rsidP="0047121F">
                  <w:pPr>
                    <w:pStyle w:val="DecimalAligned"/>
                    <w:widowControl w:val="0"/>
                    <w:numPr>
                      <w:ilvl w:val="0"/>
                      <w:numId w:val="1"/>
                    </w:numPr>
                    <w:tabs>
                      <w:tab w:val="clear" w:pos="360"/>
                      <w:tab w:val="left" w:pos="352"/>
                      <w:tab w:val="left" w:pos="464"/>
                    </w:tabs>
                    <w:autoSpaceDE w:val="0"/>
                    <w:autoSpaceDN w:val="0"/>
                    <w:adjustRightInd w:val="0"/>
                    <w:spacing w:after="0" w:line="240" w:lineRule="auto"/>
                    <w:ind w:hanging="720"/>
                    <w:jc w:val="both"/>
                    <w:rPr>
                      <w:rFonts w:asciiTheme="minorHAnsi" w:hAnsiTheme="minorHAnsi" w:cstheme="minorHAnsi"/>
                      <w:b/>
                      <w:color w:val="000000"/>
                      <w:sz w:val="18"/>
                      <w:szCs w:val="18"/>
                      <w:lang w:bidi="en-US"/>
                    </w:rPr>
                  </w:pPr>
                  <w:r w:rsidRPr="00846EEE">
                    <w:rPr>
                      <w:rFonts w:asciiTheme="minorHAnsi" w:hAnsiTheme="minorHAnsi" w:cstheme="minorHAnsi"/>
                      <w:b/>
                      <w:color w:val="000000"/>
                      <w:sz w:val="18"/>
                      <w:szCs w:val="18"/>
                      <w:lang w:bidi="en-US"/>
                    </w:rPr>
                    <w:t>Dividends</w:t>
                  </w:r>
                </w:p>
                <w:p w14:paraId="06BAA9FD" w14:textId="6837102A" w:rsidR="00551D5A" w:rsidRPr="00846EEE" w:rsidRDefault="00551D5A" w:rsidP="00551D5A">
                  <w:pPr>
                    <w:pStyle w:val="DecimalAligned"/>
                    <w:widowControl w:val="0"/>
                    <w:tabs>
                      <w:tab w:val="clear" w:pos="360"/>
                      <w:tab w:val="left" w:pos="352"/>
                      <w:tab w:val="left" w:pos="464"/>
                    </w:tabs>
                    <w:autoSpaceDE w:val="0"/>
                    <w:autoSpaceDN w:val="0"/>
                    <w:adjustRightInd w:val="0"/>
                    <w:spacing w:after="0" w:line="240" w:lineRule="auto"/>
                    <w:jc w:val="both"/>
                    <w:rPr>
                      <w:rFonts w:asciiTheme="minorHAnsi" w:hAnsiTheme="minorHAnsi" w:cstheme="minorHAnsi"/>
                      <w:b/>
                      <w:color w:val="000000"/>
                      <w:sz w:val="18"/>
                      <w:szCs w:val="18"/>
                      <w:lang w:bidi="en-US"/>
                    </w:rPr>
                  </w:pPr>
                </w:p>
                <w:tbl>
                  <w:tblPr>
                    <w:tblStyle w:val="TableGrid"/>
                    <w:tblW w:w="9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90"/>
                    <w:gridCol w:w="1748"/>
                    <w:gridCol w:w="1748"/>
                    <w:gridCol w:w="1748"/>
                  </w:tblGrid>
                  <w:tr w:rsidR="00551D5A" w:rsidRPr="00551D5A" w14:paraId="439FF7BC" w14:textId="77777777" w:rsidTr="00997EF7">
                    <w:trPr>
                      <w:trHeight w:val="464"/>
                    </w:trPr>
                    <w:tc>
                      <w:tcPr>
                        <w:tcW w:w="4290" w:type="dxa"/>
                      </w:tcPr>
                      <w:p w14:paraId="7C1E544D" w14:textId="77777777" w:rsidR="00551D5A" w:rsidRPr="00846EEE" w:rsidRDefault="00551D5A" w:rsidP="00551D5A">
                        <w:pPr>
                          <w:pStyle w:val="DecimalAligned"/>
                          <w:widowControl w:val="0"/>
                          <w:tabs>
                            <w:tab w:val="clear" w:pos="360"/>
                            <w:tab w:val="left" w:pos="352"/>
                            <w:tab w:val="left" w:pos="464"/>
                          </w:tabs>
                          <w:autoSpaceDE w:val="0"/>
                          <w:autoSpaceDN w:val="0"/>
                          <w:adjustRightInd w:val="0"/>
                          <w:spacing w:after="0" w:line="240" w:lineRule="auto"/>
                          <w:jc w:val="both"/>
                          <w:rPr>
                            <w:rFonts w:asciiTheme="minorHAnsi" w:hAnsiTheme="minorHAnsi" w:cstheme="minorHAnsi"/>
                            <w:b/>
                            <w:color w:val="000000"/>
                            <w:sz w:val="18"/>
                            <w:szCs w:val="18"/>
                            <w:lang w:bidi="en-US"/>
                          </w:rPr>
                        </w:pPr>
                      </w:p>
                    </w:tc>
                    <w:tc>
                      <w:tcPr>
                        <w:tcW w:w="1748" w:type="dxa"/>
                      </w:tcPr>
                      <w:p w14:paraId="19621C23" w14:textId="48BC13F1" w:rsidR="00551D5A" w:rsidRPr="00846EEE" w:rsidRDefault="00551D5A" w:rsidP="00997EF7">
                        <w:pPr>
                          <w:spacing w:after="0" w:line="240" w:lineRule="auto"/>
                          <w:jc w:val="right"/>
                          <w:rPr>
                            <w:rFonts w:asciiTheme="minorHAnsi" w:hAnsiTheme="minorHAnsi" w:cstheme="minorHAnsi"/>
                            <w:b/>
                            <w:color w:val="000000"/>
                            <w:sz w:val="18"/>
                            <w:szCs w:val="18"/>
                            <w:lang w:bidi="en-US"/>
                          </w:rPr>
                        </w:pPr>
                        <w:r w:rsidRPr="00846EEE">
                          <w:rPr>
                            <w:rFonts w:asciiTheme="minorHAnsi" w:hAnsiTheme="minorHAnsi" w:cstheme="minorHAnsi"/>
                            <w:b/>
                            <w:bCs/>
                            <w:color w:val="000000"/>
                            <w:sz w:val="18"/>
                            <w:szCs w:val="18"/>
                            <w:lang w:val="en-US" w:bidi="en-US"/>
                          </w:rPr>
                          <w:t xml:space="preserve">6 months ended </w:t>
                        </w:r>
                        <w:r w:rsidRPr="00846EEE">
                          <w:rPr>
                            <w:rFonts w:asciiTheme="minorHAnsi" w:hAnsiTheme="minorHAnsi" w:cstheme="minorHAnsi"/>
                            <w:b/>
                            <w:bCs/>
                            <w:color w:val="000000"/>
                            <w:sz w:val="18"/>
                            <w:szCs w:val="18"/>
                            <w:lang w:val="en-US" w:bidi="en-US"/>
                          </w:rPr>
                          <w:br/>
                          <w:t>31 Jan</w:t>
                        </w:r>
                        <w:r w:rsidR="000D62C9">
                          <w:rPr>
                            <w:rFonts w:asciiTheme="minorHAnsi" w:hAnsiTheme="minorHAnsi" w:cstheme="minorHAnsi"/>
                            <w:b/>
                            <w:bCs/>
                            <w:color w:val="000000"/>
                            <w:sz w:val="18"/>
                            <w:szCs w:val="18"/>
                            <w:lang w:val="en-US" w:bidi="en-US"/>
                          </w:rPr>
                          <w:t>uary</w:t>
                        </w:r>
                        <w:r w:rsidRPr="00846EEE">
                          <w:rPr>
                            <w:rFonts w:asciiTheme="minorHAnsi" w:hAnsiTheme="minorHAnsi" w:cstheme="minorHAnsi"/>
                            <w:b/>
                            <w:bCs/>
                            <w:color w:val="000000"/>
                            <w:sz w:val="18"/>
                            <w:szCs w:val="18"/>
                            <w:lang w:val="en-US" w:bidi="en-US"/>
                          </w:rPr>
                          <w:t xml:space="preserve"> 2023</w:t>
                        </w:r>
                      </w:p>
                    </w:tc>
                    <w:tc>
                      <w:tcPr>
                        <w:tcW w:w="1748" w:type="dxa"/>
                      </w:tcPr>
                      <w:p w14:paraId="63DE2BE7" w14:textId="61DFE3E8" w:rsidR="00551D5A" w:rsidRPr="00846EEE" w:rsidRDefault="00551D5A" w:rsidP="00997EF7">
                        <w:pPr>
                          <w:spacing w:after="0" w:line="240" w:lineRule="auto"/>
                          <w:jc w:val="right"/>
                          <w:rPr>
                            <w:rFonts w:asciiTheme="minorHAnsi" w:hAnsiTheme="minorHAnsi" w:cstheme="minorHAnsi"/>
                            <w:b/>
                            <w:color w:val="000000"/>
                            <w:sz w:val="18"/>
                            <w:szCs w:val="18"/>
                            <w:lang w:bidi="en-US"/>
                          </w:rPr>
                        </w:pPr>
                        <w:r w:rsidRPr="00846EEE">
                          <w:rPr>
                            <w:rFonts w:asciiTheme="minorHAnsi" w:hAnsiTheme="minorHAnsi" w:cstheme="minorHAnsi"/>
                            <w:bCs/>
                            <w:color w:val="000000"/>
                            <w:sz w:val="18"/>
                            <w:szCs w:val="18"/>
                            <w:lang w:val="en-US" w:bidi="en-US"/>
                          </w:rPr>
                          <w:t xml:space="preserve">6 months ended </w:t>
                        </w:r>
                        <w:r w:rsidRPr="00846EEE">
                          <w:rPr>
                            <w:rFonts w:asciiTheme="minorHAnsi" w:hAnsiTheme="minorHAnsi" w:cstheme="minorHAnsi"/>
                            <w:bCs/>
                            <w:color w:val="000000"/>
                            <w:sz w:val="18"/>
                            <w:szCs w:val="18"/>
                            <w:lang w:val="en-US" w:bidi="en-US"/>
                          </w:rPr>
                          <w:br/>
                          <w:t>31 Jan</w:t>
                        </w:r>
                        <w:r w:rsidR="000D62C9">
                          <w:rPr>
                            <w:rFonts w:asciiTheme="minorHAnsi" w:hAnsiTheme="minorHAnsi" w:cstheme="minorHAnsi"/>
                            <w:bCs/>
                            <w:color w:val="000000"/>
                            <w:sz w:val="18"/>
                            <w:szCs w:val="18"/>
                            <w:lang w:val="en-US" w:bidi="en-US"/>
                          </w:rPr>
                          <w:t>uary</w:t>
                        </w:r>
                        <w:r w:rsidRPr="00846EEE">
                          <w:rPr>
                            <w:rFonts w:asciiTheme="minorHAnsi" w:hAnsiTheme="minorHAnsi" w:cstheme="minorHAnsi"/>
                            <w:bCs/>
                            <w:color w:val="000000"/>
                            <w:sz w:val="18"/>
                            <w:szCs w:val="18"/>
                            <w:lang w:val="en-US" w:bidi="en-US"/>
                          </w:rPr>
                          <w:t xml:space="preserve"> 2022</w:t>
                        </w:r>
                      </w:p>
                    </w:tc>
                    <w:tc>
                      <w:tcPr>
                        <w:tcW w:w="1748" w:type="dxa"/>
                      </w:tcPr>
                      <w:p w14:paraId="53FA8812" w14:textId="65371CE9" w:rsidR="00551D5A" w:rsidRPr="00846EEE" w:rsidRDefault="00551D5A" w:rsidP="000D62C9">
                        <w:pPr>
                          <w:spacing w:after="0" w:line="240" w:lineRule="auto"/>
                          <w:jc w:val="right"/>
                          <w:rPr>
                            <w:rFonts w:asciiTheme="minorHAnsi" w:hAnsiTheme="minorHAnsi" w:cstheme="minorHAnsi"/>
                            <w:bCs/>
                            <w:color w:val="000000"/>
                            <w:sz w:val="18"/>
                            <w:szCs w:val="18"/>
                            <w:lang w:val="en-US" w:bidi="en-US"/>
                          </w:rPr>
                        </w:pPr>
                        <w:r w:rsidRPr="00846EEE">
                          <w:rPr>
                            <w:rFonts w:asciiTheme="minorHAnsi" w:hAnsiTheme="minorHAnsi" w:cstheme="minorHAnsi"/>
                            <w:bCs/>
                            <w:color w:val="000000"/>
                            <w:sz w:val="18"/>
                            <w:szCs w:val="18"/>
                            <w:lang w:val="en-US" w:bidi="en-US"/>
                          </w:rPr>
                          <w:t xml:space="preserve">Year </w:t>
                        </w:r>
                        <w:proofErr w:type="gramStart"/>
                        <w:r w:rsidRPr="00846EEE">
                          <w:rPr>
                            <w:rFonts w:asciiTheme="minorHAnsi" w:hAnsiTheme="minorHAnsi" w:cstheme="minorHAnsi"/>
                            <w:bCs/>
                            <w:color w:val="000000"/>
                            <w:sz w:val="18"/>
                            <w:szCs w:val="18"/>
                            <w:lang w:val="en-US" w:bidi="en-US"/>
                          </w:rPr>
                          <w:t>ended</w:t>
                        </w:r>
                        <w:proofErr w:type="gramEnd"/>
                      </w:p>
                      <w:p w14:paraId="7E47C04D" w14:textId="226809D8" w:rsidR="00551D5A" w:rsidRPr="00846EEE" w:rsidRDefault="00551D5A" w:rsidP="00997EF7">
                        <w:pPr>
                          <w:spacing w:after="0" w:line="240" w:lineRule="auto"/>
                          <w:jc w:val="right"/>
                          <w:rPr>
                            <w:rFonts w:asciiTheme="minorHAnsi" w:hAnsiTheme="minorHAnsi" w:cstheme="minorHAnsi"/>
                            <w:b/>
                            <w:color w:val="000000"/>
                            <w:sz w:val="18"/>
                            <w:szCs w:val="18"/>
                            <w:lang w:bidi="en-US"/>
                          </w:rPr>
                        </w:pPr>
                        <w:r w:rsidRPr="00846EEE">
                          <w:rPr>
                            <w:rFonts w:asciiTheme="minorHAnsi" w:hAnsiTheme="minorHAnsi" w:cstheme="minorHAnsi"/>
                            <w:bCs/>
                            <w:color w:val="000000"/>
                            <w:sz w:val="18"/>
                            <w:szCs w:val="18"/>
                            <w:lang w:val="en-US" w:bidi="en-US"/>
                          </w:rPr>
                          <w:t>31 Jul</w:t>
                        </w:r>
                        <w:r w:rsidR="000D62C9">
                          <w:rPr>
                            <w:rFonts w:asciiTheme="minorHAnsi" w:hAnsiTheme="minorHAnsi" w:cstheme="minorHAnsi"/>
                            <w:bCs/>
                            <w:color w:val="000000"/>
                            <w:sz w:val="18"/>
                            <w:szCs w:val="18"/>
                            <w:lang w:val="en-US" w:bidi="en-US"/>
                          </w:rPr>
                          <w:t>y</w:t>
                        </w:r>
                        <w:r w:rsidRPr="00846EEE">
                          <w:rPr>
                            <w:rFonts w:asciiTheme="minorHAnsi" w:hAnsiTheme="minorHAnsi" w:cstheme="minorHAnsi"/>
                            <w:bCs/>
                            <w:color w:val="000000"/>
                            <w:sz w:val="18"/>
                            <w:szCs w:val="18"/>
                            <w:lang w:val="en-US" w:bidi="en-US"/>
                          </w:rPr>
                          <w:t xml:space="preserve"> 2022</w:t>
                        </w:r>
                      </w:p>
                    </w:tc>
                  </w:tr>
                  <w:tr w:rsidR="000D62C9" w:rsidRPr="00551D5A" w14:paraId="55D37B4A" w14:textId="77777777" w:rsidTr="00997EF7">
                    <w:trPr>
                      <w:trHeight w:val="233"/>
                    </w:trPr>
                    <w:tc>
                      <w:tcPr>
                        <w:tcW w:w="4290" w:type="dxa"/>
                      </w:tcPr>
                      <w:p w14:paraId="715443D9" w14:textId="77777777" w:rsidR="000D62C9" w:rsidRPr="00551D5A" w:rsidRDefault="000D62C9" w:rsidP="000D62C9">
                        <w:pPr>
                          <w:pStyle w:val="DecimalAligned"/>
                          <w:widowControl w:val="0"/>
                          <w:tabs>
                            <w:tab w:val="clear" w:pos="360"/>
                            <w:tab w:val="left" w:pos="352"/>
                            <w:tab w:val="left" w:pos="464"/>
                          </w:tabs>
                          <w:autoSpaceDE w:val="0"/>
                          <w:autoSpaceDN w:val="0"/>
                          <w:adjustRightInd w:val="0"/>
                          <w:spacing w:after="0" w:line="240" w:lineRule="auto"/>
                          <w:jc w:val="both"/>
                          <w:rPr>
                            <w:rFonts w:asciiTheme="minorHAnsi" w:hAnsiTheme="minorHAnsi" w:cstheme="minorHAnsi"/>
                            <w:sz w:val="18"/>
                            <w:szCs w:val="18"/>
                            <w:lang w:eastAsia="en-US" w:bidi="en-US"/>
                          </w:rPr>
                        </w:pPr>
                      </w:p>
                    </w:tc>
                    <w:tc>
                      <w:tcPr>
                        <w:tcW w:w="1748" w:type="dxa"/>
                        <w:vAlign w:val="center"/>
                      </w:tcPr>
                      <w:p w14:paraId="48BBDCA2" w14:textId="70271F5A" w:rsidR="000D62C9" w:rsidRDefault="000D62C9" w:rsidP="000D62C9">
                        <w:pPr>
                          <w:pStyle w:val="DecimalAligned"/>
                          <w:widowControl w:val="0"/>
                          <w:tabs>
                            <w:tab w:val="clear" w:pos="360"/>
                            <w:tab w:val="left" w:pos="352"/>
                            <w:tab w:val="left" w:pos="464"/>
                          </w:tabs>
                          <w:autoSpaceDE w:val="0"/>
                          <w:autoSpaceDN w:val="0"/>
                          <w:adjustRightInd w:val="0"/>
                          <w:spacing w:after="0" w:line="240" w:lineRule="auto"/>
                          <w:jc w:val="right"/>
                          <w:rPr>
                            <w:rFonts w:asciiTheme="minorHAnsi" w:hAnsiTheme="minorHAnsi" w:cstheme="minorHAnsi"/>
                            <w:b/>
                            <w:color w:val="000000"/>
                            <w:sz w:val="18"/>
                            <w:szCs w:val="18"/>
                            <w:lang w:bidi="en-US"/>
                          </w:rPr>
                        </w:pPr>
                        <w:r w:rsidRPr="00846EEE">
                          <w:rPr>
                            <w:rFonts w:asciiTheme="minorHAnsi" w:hAnsiTheme="minorHAnsi" w:cstheme="minorHAnsi"/>
                            <w:b/>
                            <w:bCs/>
                            <w:sz w:val="18"/>
                            <w:szCs w:val="18"/>
                          </w:rPr>
                          <w:t>£’000</w:t>
                        </w:r>
                      </w:p>
                    </w:tc>
                    <w:tc>
                      <w:tcPr>
                        <w:tcW w:w="1748" w:type="dxa"/>
                        <w:vAlign w:val="center"/>
                      </w:tcPr>
                      <w:p w14:paraId="6A0C15FB" w14:textId="27EAAE37" w:rsidR="000D62C9" w:rsidRPr="00846EEE" w:rsidRDefault="000D62C9" w:rsidP="000D62C9">
                        <w:pPr>
                          <w:pStyle w:val="DecimalAligned"/>
                          <w:widowControl w:val="0"/>
                          <w:tabs>
                            <w:tab w:val="clear" w:pos="360"/>
                            <w:tab w:val="left" w:pos="352"/>
                            <w:tab w:val="left" w:pos="464"/>
                          </w:tabs>
                          <w:autoSpaceDE w:val="0"/>
                          <w:autoSpaceDN w:val="0"/>
                          <w:adjustRightInd w:val="0"/>
                          <w:spacing w:after="0" w:line="240" w:lineRule="auto"/>
                          <w:jc w:val="right"/>
                          <w:rPr>
                            <w:rFonts w:asciiTheme="minorHAnsi" w:hAnsiTheme="minorHAnsi" w:cstheme="minorHAnsi"/>
                            <w:bCs/>
                            <w:color w:val="000000"/>
                            <w:sz w:val="18"/>
                            <w:szCs w:val="18"/>
                            <w:lang w:bidi="en-US"/>
                          </w:rPr>
                        </w:pPr>
                        <w:r w:rsidRPr="00002756">
                          <w:rPr>
                            <w:rFonts w:asciiTheme="minorHAnsi" w:hAnsiTheme="minorHAnsi" w:cstheme="minorHAnsi"/>
                            <w:sz w:val="18"/>
                            <w:szCs w:val="18"/>
                          </w:rPr>
                          <w:t>£’000</w:t>
                        </w:r>
                      </w:p>
                    </w:tc>
                    <w:tc>
                      <w:tcPr>
                        <w:tcW w:w="1748" w:type="dxa"/>
                        <w:vAlign w:val="center"/>
                      </w:tcPr>
                      <w:p w14:paraId="6CB423EF" w14:textId="712A4AD2" w:rsidR="000D62C9" w:rsidRPr="00551D5A" w:rsidRDefault="000D62C9" w:rsidP="000D62C9">
                        <w:pPr>
                          <w:pStyle w:val="DecimalAligned"/>
                          <w:widowControl w:val="0"/>
                          <w:tabs>
                            <w:tab w:val="clear" w:pos="360"/>
                            <w:tab w:val="left" w:pos="352"/>
                            <w:tab w:val="left" w:pos="464"/>
                          </w:tabs>
                          <w:autoSpaceDE w:val="0"/>
                          <w:autoSpaceDN w:val="0"/>
                          <w:adjustRightInd w:val="0"/>
                          <w:spacing w:after="0" w:line="240" w:lineRule="auto"/>
                          <w:jc w:val="right"/>
                          <w:rPr>
                            <w:rFonts w:asciiTheme="minorHAnsi" w:hAnsiTheme="minorHAnsi" w:cstheme="minorHAnsi"/>
                            <w:bCs/>
                            <w:sz w:val="18"/>
                            <w:szCs w:val="18"/>
                            <w:lang w:eastAsia="en-US" w:bidi="en-US"/>
                          </w:rPr>
                        </w:pPr>
                        <w:r w:rsidRPr="00002756">
                          <w:rPr>
                            <w:rFonts w:asciiTheme="minorHAnsi" w:hAnsiTheme="minorHAnsi" w:cstheme="minorHAnsi"/>
                            <w:sz w:val="18"/>
                            <w:szCs w:val="18"/>
                          </w:rPr>
                          <w:t>£’000</w:t>
                        </w:r>
                      </w:p>
                    </w:tc>
                  </w:tr>
                  <w:tr w:rsidR="00551D5A" w:rsidRPr="00551D5A" w14:paraId="259DF729" w14:textId="77777777" w:rsidTr="00997EF7">
                    <w:trPr>
                      <w:trHeight w:val="238"/>
                    </w:trPr>
                    <w:tc>
                      <w:tcPr>
                        <w:tcW w:w="4290" w:type="dxa"/>
                        <w:tcBorders>
                          <w:top w:val="single" w:sz="4" w:space="0" w:color="auto"/>
                        </w:tcBorders>
                      </w:tcPr>
                      <w:p w14:paraId="302E635B" w14:textId="37E23ADE" w:rsidR="00551D5A" w:rsidRPr="00846EEE" w:rsidRDefault="00551D5A" w:rsidP="00997EF7">
                        <w:pPr>
                          <w:pStyle w:val="DecimalAligned"/>
                          <w:widowControl w:val="0"/>
                          <w:tabs>
                            <w:tab w:val="clear" w:pos="360"/>
                            <w:tab w:val="left" w:pos="352"/>
                            <w:tab w:val="left" w:pos="464"/>
                          </w:tabs>
                          <w:autoSpaceDE w:val="0"/>
                          <w:autoSpaceDN w:val="0"/>
                          <w:adjustRightInd w:val="0"/>
                          <w:spacing w:after="0" w:line="240" w:lineRule="auto"/>
                          <w:ind w:hanging="68"/>
                          <w:jc w:val="both"/>
                          <w:rPr>
                            <w:rFonts w:asciiTheme="minorHAnsi" w:hAnsiTheme="minorHAnsi" w:cstheme="minorHAnsi"/>
                            <w:b/>
                            <w:color w:val="000000"/>
                            <w:sz w:val="18"/>
                            <w:szCs w:val="18"/>
                            <w:lang w:bidi="en-US"/>
                          </w:rPr>
                        </w:pPr>
                        <w:r w:rsidRPr="00551D5A">
                          <w:rPr>
                            <w:rFonts w:asciiTheme="minorHAnsi" w:hAnsiTheme="minorHAnsi" w:cstheme="minorHAnsi"/>
                            <w:sz w:val="18"/>
                            <w:szCs w:val="18"/>
                            <w:lang w:eastAsia="en-US" w:bidi="en-US"/>
                          </w:rPr>
                          <w:t>Final dividend paid in respect of the previous year</w:t>
                        </w:r>
                      </w:p>
                    </w:tc>
                    <w:tc>
                      <w:tcPr>
                        <w:tcW w:w="1748" w:type="dxa"/>
                        <w:tcBorders>
                          <w:top w:val="single" w:sz="4" w:space="0" w:color="auto"/>
                        </w:tcBorders>
                      </w:tcPr>
                      <w:p w14:paraId="4F7A559A" w14:textId="657B20D3" w:rsidR="00551D5A" w:rsidRPr="00846EEE" w:rsidRDefault="00984E3D" w:rsidP="00846EEE">
                        <w:pPr>
                          <w:pStyle w:val="DecimalAligned"/>
                          <w:widowControl w:val="0"/>
                          <w:tabs>
                            <w:tab w:val="clear" w:pos="360"/>
                            <w:tab w:val="left" w:pos="352"/>
                            <w:tab w:val="left" w:pos="464"/>
                          </w:tabs>
                          <w:autoSpaceDE w:val="0"/>
                          <w:autoSpaceDN w:val="0"/>
                          <w:adjustRightInd w:val="0"/>
                          <w:spacing w:after="0" w:line="240" w:lineRule="auto"/>
                          <w:jc w:val="right"/>
                          <w:rPr>
                            <w:rFonts w:asciiTheme="minorHAnsi" w:hAnsiTheme="minorHAnsi" w:cstheme="minorHAnsi"/>
                            <w:b/>
                            <w:color w:val="000000"/>
                            <w:sz w:val="18"/>
                            <w:szCs w:val="18"/>
                            <w:lang w:bidi="en-US"/>
                          </w:rPr>
                        </w:pPr>
                        <w:r>
                          <w:rPr>
                            <w:rFonts w:asciiTheme="minorHAnsi" w:hAnsiTheme="minorHAnsi" w:cstheme="minorHAnsi"/>
                            <w:b/>
                            <w:color w:val="000000"/>
                            <w:sz w:val="18"/>
                            <w:szCs w:val="18"/>
                            <w:lang w:bidi="en-US"/>
                          </w:rPr>
                          <w:t>4,157</w:t>
                        </w:r>
                      </w:p>
                    </w:tc>
                    <w:tc>
                      <w:tcPr>
                        <w:tcW w:w="1748" w:type="dxa"/>
                        <w:tcBorders>
                          <w:top w:val="single" w:sz="4" w:space="0" w:color="auto"/>
                        </w:tcBorders>
                      </w:tcPr>
                      <w:p w14:paraId="2332D023" w14:textId="4D39A26E" w:rsidR="00551D5A" w:rsidRPr="00846EEE" w:rsidRDefault="00551D5A" w:rsidP="00846EEE">
                        <w:pPr>
                          <w:pStyle w:val="DecimalAligned"/>
                          <w:widowControl w:val="0"/>
                          <w:tabs>
                            <w:tab w:val="clear" w:pos="360"/>
                            <w:tab w:val="left" w:pos="352"/>
                            <w:tab w:val="left" w:pos="464"/>
                          </w:tabs>
                          <w:autoSpaceDE w:val="0"/>
                          <w:autoSpaceDN w:val="0"/>
                          <w:adjustRightInd w:val="0"/>
                          <w:spacing w:after="0" w:line="240" w:lineRule="auto"/>
                          <w:jc w:val="right"/>
                          <w:rPr>
                            <w:rFonts w:asciiTheme="minorHAnsi" w:hAnsiTheme="minorHAnsi" w:cstheme="minorHAnsi"/>
                            <w:bCs/>
                            <w:color w:val="000000"/>
                            <w:sz w:val="18"/>
                            <w:szCs w:val="18"/>
                            <w:lang w:bidi="en-US"/>
                          </w:rPr>
                        </w:pPr>
                        <w:r w:rsidRPr="00846EEE">
                          <w:rPr>
                            <w:rFonts w:asciiTheme="minorHAnsi" w:hAnsiTheme="minorHAnsi" w:cstheme="minorHAnsi"/>
                            <w:bCs/>
                            <w:color w:val="000000"/>
                            <w:sz w:val="18"/>
                            <w:szCs w:val="18"/>
                            <w:lang w:bidi="en-US"/>
                          </w:rPr>
                          <w:t>2,844</w:t>
                        </w:r>
                      </w:p>
                    </w:tc>
                    <w:tc>
                      <w:tcPr>
                        <w:tcW w:w="1748" w:type="dxa"/>
                        <w:tcBorders>
                          <w:top w:val="single" w:sz="4" w:space="0" w:color="auto"/>
                        </w:tcBorders>
                      </w:tcPr>
                      <w:p w14:paraId="6703FCBA" w14:textId="3B7AB03F" w:rsidR="00551D5A" w:rsidRPr="00846EEE" w:rsidRDefault="00551D5A" w:rsidP="00846EEE">
                        <w:pPr>
                          <w:pStyle w:val="DecimalAligned"/>
                          <w:widowControl w:val="0"/>
                          <w:tabs>
                            <w:tab w:val="clear" w:pos="360"/>
                            <w:tab w:val="left" w:pos="352"/>
                            <w:tab w:val="left" w:pos="464"/>
                          </w:tabs>
                          <w:autoSpaceDE w:val="0"/>
                          <w:autoSpaceDN w:val="0"/>
                          <w:adjustRightInd w:val="0"/>
                          <w:spacing w:after="0" w:line="240" w:lineRule="auto"/>
                          <w:jc w:val="right"/>
                          <w:rPr>
                            <w:rFonts w:asciiTheme="minorHAnsi" w:hAnsiTheme="minorHAnsi" w:cstheme="minorHAnsi"/>
                            <w:bCs/>
                            <w:color w:val="000000"/>
                            <w:sz w:val="18"/>
                            <w:szCs w:val="18"/>
                            <w:lang w:bidi="en-US"/>
                          </w:rPr>
                        </w:pPr>
                        <w:r w:rsidRPr="00551D5A">
                          <w:rPr>
                            <w:rFonts w:asciiTheme="minorHAnsi" w:hAnsiTheme="minorHAnsi" w:cstheme="minorHAnsi"/>
                            <w:bCs/>
                            <w:sz w:val="18"/>
                            <w:szCs w:val="18"/>
                            <w:lang w:eastAsia="en-US" w:bidi="en-US"/>
                          </w:rPr>
                          <w:t>2,844</w:t>
                        </w:r>
                      </w:p>
                    </w:tc>
                  </w:tr>
                  <w:tr w:rsidR="00551D5A" w:rsidRPr="00551D5A" w14:paraId="5B8F2208" w14:textId="77777777" w:rsidTr="00997EF7">
                    <w:trPr>
                      <w:trHeight w:val="238"/>
                    </w:trPr>
                    <w:tc>
                      <w:tcPr>
                        <w:tcW w:w="4290" w:type="dxa"/>
                        <w:tcBorders>
                          <w:bottom w:val="single" w:sz="4" w:space="0" w:color="auto"/>
                        </w:tcBorders>
                      </w:tcPr>
                      <w:p w14:paraId="714DBFB8" w14:textId="5D31EEFD" w:rsidR="00551D5A" w:rsidRPr="00846EEE" w:rsidRDefault="00551D5A" w:rsidP="00997EF7">
                        <w:pPr>
                          <w:pStyle w:val="DecimalAligned"/>
                          <w:widowControl w:val="0"/>
                          <w:tabs>
                            <w:tab w:val="clear" w:pos="360"/>
                            <w:tab w:val="left" w:pos="352"/>
                            <w:tab w:val="left" w:pos="464"/>
                          </w:tabs>
                          <w:autoSpaceDE w:val="0"/>
                          <w:autoSpaceDN w:val="0"/>
                          <w:adjustRightInd w:val="0"/>
                          <w:spacing w:after="0" w:line="240" w:lineRule="auto"/>
                          <w:ind w:hanging="68"/>
                          <w:jc w:val="both"/>
                          <w:rPr>
                            <w:rFonts w:asciiTheme="minorHAnsi" w:hAnsiTheme="minorHAnsi" w:cstheme="minorHAnsi"/>
                            <w:b/>
                            <w:color w:val="000000"/>
                            <w:sz w:val="18"/>
                            <w:szCs w:val="18"/>
                            <w:lang w:bidi="en-US"/>
                          </w:rPr>
                        </w:pPr>
                        <w:r w:rsidRPr="00551D5A">
                          <w:rPr>
                            <w:rFonts w:asciiTheme="minorHAnsi" w:hAnsiTheme="minorHAnsi" w:cstheme="minorHAnsi"/>
                            <w:sz w:val="18"/>
                            <w:szCs w:val="18"/>
                            <w:lang w:eastAsia="en-US" w:bidi="en-US"/>
                          </w:rPr>
                          <w:t>Interim declared and paid</w:t>
                        </w:r>
                      </w:p>
                    </w:tc>
                    <w:tc>
                      <w:tcPr>
                        <w:tcW w:w="1748" w:type="dxa"/>
                        <w:tcBorders>
                          <w:bottom w:val="single" w:sz="4" w:space="0" w:color="auto"/>
                        </w:tcBorders>
                      </w:tcPr>
                      <w:p w14:paraId="5AF40462" w14:textId="386067CE" w:rsidR="00551D5A" w:rsidRPr="00846EEE" w:rsidRDefault="00984E3D" w:rsidP="00846EEE">
                        <w:pPr>
                          <w:pStyle w:val="DecimalAligned"/>
                          <w:widowControl w:val="0"/>
                          <w:tabs>
                            <w:tab w:val="clear" w:pos="360"/>
                            <w:tab w:val="left" w:pos="352"/>
                            <w:tab w:val="left" w:pos="464"/>
                          </w:tabs>
                          <w:autoSpaceDE w:val="0"/>
                          <w:autoSpaceDN w:val="0"/>
                          <w:adjustRightInd w:val="0"/>
                          <w:spacing w:after="0" w:line="240" w:lineRule="auto"/>
                          <w:jc w:val="right"/>
                          <w:rPr>
                            <w:rFonts w:asciiTheme="minorHAnsi" w:hAnsiTheme="minorHAnsi" w:cstheme="minorHAnsi"/>
                            <w:b/>
                            <w:color w:val="000000"/>
                            <w:sz w:val="18"/>
                            <w:szCs w:val="18"/>
                            <w:lang w:bidi="en-US"/>
                          </w:rPr>
                        </w:pPr>
                        <w:r>
                          <w:rPr>
                            <w:rFonts w:asciiTheme="minorHAnsi" w:hAnsiTheme="minorHAnsi" w:cstheme="minorHAnsi"/>
                            <w:b/>
                            <w:color w:val="000000"/>
                            <w:sz w:val="18"/>
                            <w:szCs w:val="18"/>
                            <w:lang w:bidi="en-US"/>
                          </w:rPr>
                          <w:t>-</w:t>
                        </w:r>
                      </w:p>
                    </w:tc>
                    <w:tc>
                      <w:tcPr>
                        <w:tcW w:w="1748" w:type="dxa"/>
                        <w:tcBorders>
                          <w:bottom w:val="single" w:sz="4" w:space="0" w:color="auto"/>
                        </w:tcBorders>
                      </w:tcPr>
                      <w:p w14:paraId="5E58FF2A" w14:textId="51723706" w:rsidR="00551D5A" w:rsidRPr="00846EEE" w:rsidRDefault="00551D5A" w:rsidP="00846EEE">
                        <w:pPr>
                          <w:pStyle w:val="DecimalAligned"/>
                          <w:widowControl w:val="0"/>
                          <w:tabs>
                            <w:tab w:val="clear" w:pos="360"/>
                            <w:tab w:val="left" w:pos="352"/>
                            <w:tab w:val="left" w:pos="464"/>
                          </w:tabs>
                          <w:autoSpaceDE w:val="0"/>
                          <w:autoSpaceDN w:val="0"/>
                          <w:adjustRightInd w:val="0"/>
                          <w:spacing w:after="0" w:line="240" w:lineRule="auto"/>
                          <w:jc w:val="right"/>
                          <w:rPr>
                            <w:rFonts w:asciiTheme="minorHAnsi" w:hAnsiTheme="minorHAnsi" w:cstheme="minorHAnsi"/>
                            <w:bCs/>
                            <w:color w:val="000000"/>
                            <w:sz w:val="18"/>
                            <w:szCs w:val="18"/>
                            <w:lang w:bidi="en-US"/>
                          </w:rPr>
                        </w:pPr>
                        <w:r w:rsidRPr="00846EEE">
                          <w:rPr>
                            <w:rFonts w:asciiTheme="minorHAnsi" w:hAnsiTheme="minorHAnsi" w:cstheme="minorHAnsi"/>
                            <w:bCs/>
                            <w:color w:val="000000"/>
                            <w:sz w:val="18"/>
                            <w:szCs w:val="18"/>
                            <w:lang w:bidi="en-US"/>
                          </w:rPr>
                          <w:t>-</w:t>
                        </w:r>
                      </w:p>
                    </w:tc>
                    <w:tc>
                      <w:tcPr>
                        <w:tcW w:w="1748" w:type="dxa"/>
                        <w:tcBorders>
                          <w:bottom w:val="single" w:sz="4" w:space="0" w:color="auto"/>
                        </w:tcBorders>
                      </w:tcPr>
                      <w:p w14:paraId="613EDD1E" w14:textId="6CC823F2" w:rsidR="00551D5A" w:rsidRPr="00846EEE" w:rsidRDefault="00551D5A" w:rsidP="00846EEE">
                        <w:pPr>
                          <w:pStyle w:val="DecimalAligned"/>
                          <w:widowControl w:val="0"/>
                          <w:tabs>
                            <w:tab w:val="clear" w:pos="360"/>
                            <w:tab w:val="left" w:pos="352"/>
                            <w:tab w:val="left" w:pos="464"/>
                          </w:tabs>
                          <w:autoSpaceDE w:val="0"/>
                          <w:autoSpaceDN w:val="0"/>
                          <w:adjustRightInd w:val="0"/>
                          <w:spacing w:after="0" w:line="240" w:lineRule="auto"/>
                          <w:jc w:val="right"/>
                          <w:rPr>
                            <w:rFonts w:asciiTheme="minorHAnsi" w:hAnsiTheme="minorHAnsi" w:cstheme="minorHAnsi"/>
                            <w:bCs/>
                            <w:color w:val="000000"/>
                            <w:sz w:val="18"/>
                            <w:szCs w:val="18"/>
                            <w:lang w:bidi="en-US"/>
                          </w:rPr>
                        </w:pPr>
                        <w:r w:rsidRPr="00551D5A">
                          <w:rPr>
                            <w:rFonts w:asciiTheme="minorHAnsi" w:hAnsiTheme="minorHAnsi" w:cstheme="minorHAnsi"/>
                            <w:bCs/>
                            <w:sz w:val="18"/>
                            <w:szCs w:val="18"/>
                            <w:lang w:eastAsia="en-US" w:bidi="en-US"/>
                          </w:rPr>
                          <w:t>1,986</w:t>
                        </w:r>
                      </w:p>
                    </w:tc>
                  </w:tr>
                  <w:tr w:rsidR="00551D5A" w:rsidRPr="00551D5A" w14:paraId="097BD6D3" w14:textId="77777777" w:rsidTr="00997EF7">
                    <w:trPr>
                      <w:trHeight w:val="130"/>
                    </w:trPr>
                    <w:tc>
                      <w:tcPr>
                        <w:tcW w:w="4290" w:type="dxa"/>
                        <w:tcBorders>
                          <w:top w:val="single" w:sz="4" w:space="0" w:color="auto"/>
                          <w:bottom w:val="single" w:sz="4" w:space="0" w:color="auto"/>
                        </w:tcBorders>
                      </w:tcPr>
                      <w:p w14:paraId="51727B15" w14:textId="77777777" w:rsidR="00551D5A" w:rsidRPr="00846EEE" w:rsidRDefault="00551D5A" w:rsidP="00997EF7">
                        <w:pPr>
                          <w:pStyle w:val="DecimalAligned"/>
                          <w:widowControl w:val="0"/>
                          <w:tabs>
                            <w:tab w:val="clear" w:pos="360"/>
                            <w:tab w:val="left" w:pos="352"/>
                            <w:tab w:val="left" w:pos="464"/>
                          </w:tabs>
                          <w:autoSpaceDE w:val="0"/>
                          <w:autoSpaceDN w:val="0"/>
                          <w:adjustRightInd w:val="0"/>
                          <w:spacing w:after="0" w:line="240" w:lineRule="auto"/>
                          <w:ind w:hanging="68"/>
                          <w:jc w:val="both"/>
                          <w:rPr>
                            <w:rFonts w:asciiTheme="minorHAnsi" w:hAnsiTheme="minorHAnsi" w:cstheme="minorHAnsi"/>
                            <w:b/>
                            <w:color w:val="000000"/>
                            <w:sz w:val="18"/>
                            <w:szCs w:val="18"/>
                            <w:lang w:bidi="en-US"/>
                          </w:rPr>
                        </w:pPr>
                      </w:p>
                    </w:tc>
                    <w:tc>
                      <w:tcPr>
                        <w:tcW w:w="1748" w:type="dxa"/>
                        <w:tcBorders>
                          <w:top w:val="single" w:sz="4" w:space="0" w:color="auto"/>
                          <w:bottom w:val="single" w:sz="4" w:space="0" w:color="auto"/>
                        </w:tcBorders>
                      </w:tcPr>
                      <w:p w14:paraId="0C070871" w14:textId="6465492B" w:rsidR="00551D5A" w:rsidRPr="00846EEE" w:rsidRDefault="000D62C9" w:rsidP="00846EEE">
                        <w:pPr>
                          <w:pStyle w:val="DecimalAligned"/>
                          <w:widowControl w:val="0"/>
                          <w:tabs>
                            <w:tab w:val="clear" w:pos="360"/>
                            <w:tab w:val="left" w:pos="352"/>
                            <w:tab w:val="left" w:pos="464"/>
                          </w:tabs>
                          <w:autoSpaceDE w:val="0"/>
                          <w:autoSpaceDN w:val="0"/>
                          <w:adjustRightInd w:val="0"/>
                          <w:spacing w:after="0" w:line="240" w:lineRule="auto"/>
                          <w:jc w:val="right"/>
                          <w:rPr>
                            <w:rFonts w:asciiTheme="minorHAnsi" w:hAnsiTheme="minorHAnsi" w:cstheme="minorHAnsi"/>
                            <w:b/>
                            <w:color w:val="000000"/>
                            <w:sz w:val="18"/>
                            <w:szCs w:val="18"/>
                            <w:lang w:bidi="en-US"/>
                          </w:rPr>
                        </w:pPr>
                        <w:r>
                          <w:rPr>
                            <w:rFonts w:asciiTheme="minorHAnsi" w:hAnsiTheme="minorHAnsi" w:cstheme="minorHAnsi"/>
                            <w:b/>
                            <w:color w:val="000000"/>
                            <w:sz w:val="18"/>
                            <w:szCs w:val="18"/>
                            <w:lang w:bidi="en-US"/>
                          </w:rPr>
                          <w:t>4,157</w:t>
                        </w:r>
                      </w:p>
                    </w:tc>
                    <w:tc>
                      <w:tcPr>
                        <w:tcW w:w="1748" w:type="dxa"/>
                        <w:tcBorders>
                          <w:top w:val="single" w:sz="4" w:space="0" w:color="auto"/>
                          <w:bottom w:val="single" w:sz="4" w:space="0" w:color="auto"/>
                        </w:tcBorders>
                      </w:tcPr>
                      <w:p w14:paraId="04DB9578" w14:textId="6F632398" w:rsidR="00551D5A" w:rsidRPr="00846EEE" w:rsidRDefault="00551D5A" w:rsidP="00846EEE">
                        <w:pPr>
                          <w:pStyle w:val="DecimalAligned"/>
                          <w:widowControl w:val="0"/>
                          <w:tabs>
                            <w:tab w:val="clear" w:pos="360"/>
                            <w:tab w:val="left" w:pos="352"/>
                            <w:tab w:val="left" w:pos="464"/>
                          </w:tabs>
                          <w:autoSpaceDE w:val="0"/>
                          <w:autoSpaceDN w:val="0"/>
                          <w:adjustRightInd w:val="0"/>
                          <w:spacing w:after="0" w:line="240" w:lineRule="auto"/>
                          <w:jc w:val="right"/>
                          <w:rPr>
                            <w:rFonts w:asciiTheme="minorHAnsi" w:hAnsiTheme="minorHAnsi" w:cstheme="minorHAnsi"/>
                            <w:bCs/>
                            <w:color w:val="000000"/>
                            <w:sz w:val="18"/>
                            <w:szCs w:val="18"/>
                            <w:lang w:bidi="en-US"/>
                          </w:rPr>
                        </w:pPr>
                        <w:r w:rsidRPr="00846EEE">
                          <w:rPr>
                            <w:rFonts w:asciiTheme="minorHAnsi" w:hAnsiTheme="minorHAnsi" w:cstheme="minorHAnsi"/>
                            <w:bCs/>
                            <w:color w:val="000000"/>
                            <w:sz w:val="18"/>
                            <w:szCs w:val="18"/>
                            <w:lang w:bidi="en-US"/>
                          </w:rPr>
                          <w:t>2,844</w:t>
                        </w:r>
                      </w:p>
                    </w:tc>
                    <w:tc>
                      <w:tcPr>
                        <w:tcW w:w="1748" w:type="dxa"/>
                        <w:tcBorders>
                          <w:top w:val="single" w:sz="4" w:space="0" w:color="auto"/>
                          <w:bottom w:val="single" w:sz="4" w:space="0" w:color="auto"/>
                        </w:tcBorders>
                      </w:tcPr>
                      <w:p w14:paraId="2C71C5A8" w14:textId="5517EA8E" w:rsidR="00551D5A" w:rsidRPr="00846EEE" w:rsidRDefault="00551D5A" w:rsidP="00846EEE">
                        <w:pPr>
                          <w:pStyle w:val="DecimalAligned"/>
                          <w:widowControl w:val="0"/>
                          <w:tabs>
                            <w:tab w:val="clear" w:pos="360"/>
                            <w:tab w:val="left" w:pos="352"/>
                            <w:tab w:val="left" w:pos="464"/>
                          </w:tabs>
                          <w:autoSpaceDE w:val="0"/>
                          <w:autoSpaceDN w:val="0"/>
                          <w:adjustRightInd w:val="0"/>
                          <w:spacing w:after="0" w:line="240" w:lineRule="auto"/>
                          <w:jc w:val="right"/>
                          <w:rPr>
                            <w:rFonts w:asciiTheme="minorHAnsi" w:hAnsiTheme="minorHAnsi" w:cstheme="minorHAnsi"/>
                            <w:bCs/>
                            <w:color w:val="000000"/>
                            <w:sz w:val="18"/>
                            <w:szCs w:val="18"/>
                            <w:lang w:bidi="en-US"/>
                          </w:rPr>
                        </w:pPr>
                        <w:r w:rsidRPr="00551D5A">
                          <w:rPr>
                            <w:rFonts w:asciiTheme="minorHAnsi" w:hAnsiTheme="minorHAnsi" w:cstheme="minorHAnsi"/>
                            <w:bCs/>
                            <w:sz w:val="18"/>
                            <w:szCs w:val="18"/>
                            <w:lang w:eastAsia="en-US" w:bidi="en-US"/>
                          </w:rPr>
                          <w:t>4,830</w:t>
                        </w:r>
                      </w:p>
                    </w:tc>
                  </w:tr>
                  <w:tr w:rsidR="00551D5A" w:rsidRPr="00551D5A" w14:paraId="65C0CCDA" w14:textId="77777777" w:rsidTr="00997EF7">
                    <w:trPr>
                      <w:trHeight w:val="130"/>
                    </w:trPr>
                    <w:tc>
                      <w:tcPr>
                        <w:tcW w:w="4290" w:type="dxa"/>
                        <w:tcBorders>
                          <w:top w:val="single" w:sz="4" w:space="0" w:color="auto"/>
                        </w:tcBorders>
                      </w:tcPr>
                      <w:p w14:paraId="358B931F" w14:textId="77777777" w:rsidR="00551D5A" w:rsidRPr="00846EEE" w:rsidRDefault="00551D5A" w:rsidP="00997EF7">
                        <w:pPr>
                          <w:pStyle w:val="DecimalAligned"/>
                          <w:widowControl w:val="0"/>
                          <w:tabs>
                            <w:tab w:val="clear" w:pos="360"/>
                            <w:tab w:val="left" w:pos="352"/>
                            <w:tab w:val="left" w:pos="464"/>
                          </w:tabs>
                          <w:autoSpaceDE w:val="0"/>
                          <w:autoSpaceDN w:val="0"/>
                          <w:adjustRightInd w:val="0"/>
                          <w:spacing w:after="0" w:line="240" w:lineRule="auto"/>
                          <w:ind w:hanging="68"/>
                          <w:jc w:val="both"/>
                          <w:rPr>
                            <w:rFonts w:asciiTheme="minorHAnsi" w:hAnsiTheme="minorHAnsi" w:cstheme="minorHAnsi"/>
                            <w:b/>
                            <w:color w:val="000000"/>
                            <w:sz w:val="18"/>
                            <w:szCs w:val="18"/>
                            <w:lang w:bidi="en-US"/>
                          </w:rPr>
                        </w:pPr>
                      </w:p>
                    </w:tc>
                    <w:tc>
                      <w:tcPr>
                        <w:tcW w:w="1748" w:type="dxa"/>
                        <w:tcBorders>
                          <w:top w:val="single" w:sz="4" w:space="0" w:color="auto"/>
                        </w:tcBorders>
                      </w:tcPr>
                      <w:p w14:paraId="493B8975" w14:textId="77777777" w:rsidR="00551D5A" w:rsidRPr="00551D5A" w:rsidRDefault="00551D5A" w:rsidP="00846EEE">
                        <w:pPr>
                          <w:pStyle w:val="DecimalAligned"/>
                          <w:widowControl w:val="0"/>
                          <w:tabs>
                            <w:tab w:val="clear" w:pos="360"/>
                            <w:tab w:val="left" w:pos="352"/>
                            <w:tab w:val="left" w:pos="464"/>
                          </w:tabs>
                          <w:autoSpaceDE w:val="0"/>
                          <w:autoSpaceDN w:val="0"/>
                          <w:adjustRightInd w:val="0"/>
                          <w:spacing w:after="0" w:line="240" w:lineRule="auto"/>
                          <w:jc w:val="right"/>
                          <w:rPr>
                            <w:rFonts w:asciiTheme="minorHAnsi" w:hAnsiTheme="minorHAnsi" w:cstheme="minorHAnsi"/>
                            <w:sz w:val="18"/>
                            <w:szCs w:val="18"/>
                            <w:lang w:eastAsia="en-US" w:bidi="en-US"/>
                          </w:rPr>
                        </w:pPr>
                      </w:p>
                    </w:tc>
                    <w:tc>
                      <w:tcPr>
                        <w:tcW w:w="1748" w:type="dxa"/>
                        <w:tcBorders>
                          <w:top w:val="single" w:sz="4" w:space="0" w:color="auto"/>
                        </w:tcBorders>
                      </w:tcPr>
                      <w:p w14:paraId="0C152E04" w14:textId="77777777" w:rsidR="00551D5A" w:rsidRPr="00551D5A" w:rsidRDefault="00551D5A" w:rsidP="00846EEE">
                        <w:pPr>
                          <w:pStyle w:val="DecimalAligned"/>
                          <w:widowControl w:val="0"/>
                          <w:tabs>
                            <w:tab w:val="clear" w:pos="360"/>
                            <w:tab w:val="left" w:pos="352"/>
                            <w:tab w:val="left" w:pos="464"/>
                          </w:tabs>
                          <w:autoSpaceDE w:val="0"/>
                          <w:autoSpaceDN w:val="0"/>
                          <w:adjustRightInd w:val="0"/>
                          <w:spacing w:after="0" w:line="240" w:lineRule="auto"/>
                          <w:jc w:val="right"/>
                          <w:rPr>
                            <w:rFonts w:asciiTheme="minorHAnsi" w:hAnsiTheme="minorHAnsi" w:cstheme="minorHAnsi"/>
                            <w:sz w:val="18"/>
                            <w:szCs w:val="18"/>
                            <w:lang w:eastAsia="en-US" w:bidi="en-US"/>
                          </w:rPr>
                        </w:pPr>
                      </w:p>
                    </w:tc>
                    <w:tc>
                      <w:tcPr>
                        <w:tcW w:w="1748" w:type="dxa"/>
                        <w:tcBorders>
                          <w:top w:val="single" w:sz="4" w:space="0" w:color="auto"/>
                        </w:tcBorders>
                      </w:tcPr>
                      <w:p w14:paraId="7BA717AE" w14:textId="77777777" w:rsidR="00551D5A" w:rsidRPr="00846EEE" w:rsidRDefault="00551D5A" w:rsidP="00846EEE">
                        <w:pPr>
                          <w:pStyle w:val="DecimalAligned"/>
                          <w:widowControl w:val="0"/>
                          <w:tabs>
                            <w:tab w:val="clear" w:pos="360"/>
                            <w:tab w:val="left" w:pos="352"/>
                            <w:tab w:val="left" w:pos="464"/>
                          </w:tabs>
                          <w:autoSpaceDE w:val="0"/>
                          <w:autoSpaceDN w:val="0"/>
                          <w:adjustRightInd w:val="0"/>
                          <w:spacing w:after="0" w:line="240" w:lineRule="auto"/>
                          <w:jc w:val="right"/>
                          <w:rPr>
                            <w:rFonts w:asciiTheme="minorHAnsi" w:hAnsiTheme="minorHAnsi" w:cstheme="minorHAnsi"/>
                            <w:b/>
                            <w:color w:val="000000"/>
                            <w:sz w:val="18"/>
                            <w:szCs w:val="18"/>
                            <w:lang w:bidi="en-US"/>
                          </w:rPr>
                        </w:pPr>
                      </w:p>
                    </w:tc>
                  </w:tr>
                  <w:tr w:rsidR="00551D5A" w:rsidRPr="00551D5A" w14:paraId="13C497A5" w14:textId="77777777" w:rsidTr="00997EF7">
                    <w:trPr>
                      <w:trHeight w:val="114"/>
                    </w:trPr>
                    <w:tc>
                      <w:tcPr>
                        <w:tcW w:w="4290" w:type="dxa"/>
                      </w:tcPr>
                      <w:p w14:paraId="03A23A09" w14:textId="659733D5" w:rsidR="00551D5A" w:rsidRPr="00846EEE" w:rsidRDefault="00551D5A" w:rsidP="00997EF7">
                        <w:pPr>
                          <w:pStyle w:val="DecimalAligned"/>
                          <w:widowControl w:val="0"/>
                          <w:tabs>
                            <w:tab w:val="clear" w:pos="360"/>
                            <w:tab w:val="left" w:pos="352"/>
                            <w:tab w:val="left" w:pos="464"/>
                          </w:tabs>
                          <w:autoSpaceDE w:val="0"/>
                          <w:autoSpaceDN w:val="0"/>
                          <w:adjustRightInd w:val="0"/>
                          <w:spacing w:after="0" w:line="240" w:lineRule="auto"/>
                          <w:ind w:hanging="68"/>
                          <w:jc w:val="both"/>
                          <w:rPr>
                            <w:rFonts w:asciiTheme="minorHAnsi" w:hAnsiTheme="minorHAnsi" w:cstheme="minorHAnsi"/>
                            <w:b/>
                            <w:color w:val="000000"/>
                            <w:sz w:val="18"/>
                            <w:szCs w:val="18"/>
                            <w:lang w:bidi="en-US"/>
                          </w:rPr>
                        </w:pPr>
                        <w:r w:rsidRPr="00551D5A">
                          <w:rPr>
                            <w:rFonts w:asciiTheme="minorHAnsi" w:hAnsiTheme="minorHAnsi" w:cstheme="minorHAnsi"/>
                            <w:sz w:val="18"/>
                            <w:szCs w:val="18"/>
                            <w:lang w:eastAsia="en-US" w:bidi="en-US"/>
                          </w:rPr>
                          <w:t>Per share</w:t>
                        </w:r>
                      </w:p>
                    </w:tc>
                    <w:tc>
                      <w:tcPr>
                        <w:tcW w:w="1748" w:type="dxa"/>
                      </w:tcPr>
                      <w:p w14:paraId="6B96478A" w14:textId="74AC6025" w:rsidR="00551D5A" w:rsidRPr="00B03A21" w:rsidRDefault="00551D5A" w:rsidP="00846EEE">
                        <w:pPr>
                          <w:pStyle w:val="DecimalAligned"/>
                          <w:widowControl w:val="0"/>
                          <w:tabs>
                            <w:tab w:val="clear" w:pos="360"/>
                            <w:tab w:val="left" w:pos="352"/>
                            <w:tab w:val="left" w:pos="464"/>
                          </w:tabs>
                          <w:autoSpaceDE w:val="0"/>
                          <w:autoSpaceDN w:val="0"/>
                          <w:adjustRightInd w:val="0"/>
                          <w:spacing w:after="0" w:line="240" w:lineRule="auto"/>
                          <w:jc w:val="right"/>
                          <w:rPr>
                            <w:rFonts w:asciiTheme="minorHAnsi" w:hAnsiTheme="minorHAnsi" w:cstheme="minorHAnsi"/>
                            <w:bCs/>
                            <w:sz w:val="18"/>
                            <w:szCs w:val="18"/>
                            <w:lang w:eastAsia="en-US" w:bidi="en-US"/>
                          </w:rPr>
                        </w:pPr>
                        <w:r w:rsidRPr="00997EF7">
                          <w:rPr>
                            <w:rFonts w:asciiTheme="minorHAnsi" w:hAnsiTheme="minorHAnsi" w:cstheme="minorHAnsi"/>
                            <w:bCs/>
                            <w:sz w:val="18"/>
                            <w:szCs w:val="18"/>
                            <w:lang w:eastAsia="en-US" w:bidi="en-US"/>
                          </w:rPr>
                          <w:t>Pence</w:t>
                        </w:r>
                      </w:p>
                    </w:tc>
                    <w:tc>
                      <w:tcPr>
                        <w:tcW w:w="1748" w:type="dxa"/>
                      </w:tcPr>
                      <w:p w14:paraId="7F4356B7" w14:textId="13F16F9E" w:rsidR="00551D5A" w:rsidRPr="00B03A21" w:rsidRDefault="00551D5A" w:rsidP="00846EEE">
                        <w:pPr>
                          <w:pStyle w:val="DecimalAligned"/>
                          <w:widowControl w:val="0"/>
                          <w:tabs>
                            <w:tab w:val="clear" w:pos="360"/>
                            <w:tab w:val="left" w:pos="352"/>
                            <w:tab w:val="left" w:pos="464"/>
                          </w:tabs>
                          <w:autoSpaceDE w:val="0"/>
                          <w:autoSpaceDN w:val="0"/>
                          <w:adjustRightInd w:val="0"/>
                          <w:spacing w:after="0" w:line="240" w:lineRule="auto"/>
                          <w:jc w:val="right"/>
                          <w:rPr>
                            <w:rFonts w:asciiTheme="minorHAnsi" w:hAnsiTheme="minorHAnsi" w:cstheme="minorHAnsi"/>
                            <w:bCs/>
                            <w:sz w:val="18"/>
                            <w:szCs w:val="18"/>
                            <w:lang w:eastAsia="en-US" w:bidi="en-US"/>
                          </w:rPr>
                        </w:pPr>
                        <w:r w:rsidRPr="00997EF7">
                          <w:rPr>
                            <w:rFonts w:asciiTheme="minorHAnsi" w:hAnsiTheme="minorHAnsi" w:cstheme="minorHAnsi"/>
                            <w:bCs/>
                            <w:sz w:val="18"/>
                            <w:szCs w:val="18"/>
                            <w:lang w:eastAsia="en-US" w:bidi="en-US"/>
                          </w:rPr>
                          <w:t>Pence</w:t>
                        </w:r>
                      </w:p>
                    </w:tc>
                    <w:tc>
                      <w:tcPr>
                        <w:tcW w:w="1748" w:type="dxa"/>
                      </w:tcPr>
                      <w:p w14:paraId="603B6B07" w14:textId="118E3C4E" w:rsidR="00551D5A" w:rsidRPr="00997EF7" w:rsidRDefault="00551D5A" w:rsidP="00846EEE">
                        <w:pPr>
                          <w:pStyle w:val="DecimalAligned"/>
                          <w:widowControl w:val="0"/>
                          <w:tabs>
                            <w:tab w:val="clear" w:pos="360"/>
                            <w:tab w:val="left" w:pos="352"/>
                            <w:tab w:val="left" w:pos="464"/>
                          </w:tabs>
                          <w:autoSpaceDE w:val="0"/>
                          <w:autoSpaceDN w:val="0"/>
                          <w:adjustRightInd w:val="0"/>
                          <w:spacing w:after="0" w:line="240" w:lineRule="auto"/>
                          <w:jc w:val="right"/>
                          <w:rPr>
                            <w:rFonts w:asciiTheme="minorHAnsi" w:hAnsiTheme="minorHAnsi" w:cstheme="minorHAnsi"/>
                            <w:bCs/>
                            <w:color w:val="000000"/>
                            <w:sz w:val="18"/>
                            <w:szCs w:val="18"/>
                            <w:lang w:bidi="en-US"/>
                          </w:rPr>
                        </w:pPr>
                        <w:r w:rsidRPr="00997EF7">
                          <w:rPr>
                            <w:rFonts w:asciiTheme="minorHAnsi" w:hAnsiTheme="minorHAnsi" w:cstheme="minorHAnsi"/>
                            <w:bCs/>
                            <w:sz w:val="18"/>
                            <w:szCs w:val="18"/>
                            <w:lang w:eastAsia="en-US" w:bidi="en-US"/>
                          </w:rPr>
                          <w:t>Pence</w:t>
                        </w:r>
                      </w:p>
                    </w:tc>
                  </w:tr>
                  <w:tr w:rsidR="00551D5A" w:rsidRPr="00551D5A" w14:paraId="09F44357" w14:textId="77777777" w:rsidTr="00997EF7">
                    <w:trPr>
                      <w:trHeight w:val="207"/>
                    </w:trPr>
                    <w:tc>
                      <w:tcPr>
                        <w:tcW w:w="4290" w:type="dxa"/>
                      </w:tcPr>
                      <w:p w14:paraId="439741FC" w14:textId="3D609191" w:rsidR="00551D5A" w:rsidRPr="00551D5A" w:rsidRDefault="00551D5A" w:rsidP="00997EF7">
                        <w:pPr>
                          <w:pStyle w:val="DecimalAligned"/>
                          <w:widowControl w:val="0"/>
                          <w:tabs>
                            <w:tab w:val="clear" w:pos="360"/>
                            <w:tab w:val="left" w:pos="352"/>
                            <w:tab w:val="left" w:pos="464"/>
                          </w:tabs>
                          <w:autoSpaceDE w:val="0"/>
                          <w:autoSpaceDN w:val="0"/>
                          <w:adjustRightInd w:val="0"/>
                          <w:spacing w:after="0" w:line="240" w:lineRule="auto"/>
                          <w:ind w:hanging="68"/>
                          <w:jc w:val="both"/>
                          <w:rPr>
                            <w:rFonts w:asciiTheme="minorHAnsi" w:hAnsiTheme="minorHAnsi" w:cstheme="minorHAnsi"/>
                            <w:sz w:val="18"/>
                            <w:szCs w:val="18"/>
                            <w:lang w:eastAsia="en-US" w:bidi="en-US"/>
                          </w:rPr>
                        </w:pPr>
                        <w:r w:rsidRPr="00551D5A">
                          <w:rPr>
                            <w:rFonts w:asciiTheme="minorHAnsi" w:hAnsiTheme="minorHAnsi" w:cstheme="minorHAnsi"/>
                            <w:sz w:val="18"/>
                            <w:szCs w:val="18"/>
                            <w:lang w:eastAsia="en-US" w:bidi="en-US"/>
                          </w:rPr>
                          <w:t>Final dividend paid in respect of the previous year</w:t>
                        </w:r>
                      </w:p>
                    </w:tc>
                    <w:tc>
                      <w:tcPr>
                        <w:tcW w:w="1748" w:type="dxa"/>
                      </w:tcPr>
                      <w:p w14:paraId="38850C74" w14:textId="71E1424A" w:rsidR="00551D5A" w:rsidRPr="00997EF7" w:rsidRDefault="00551D5A" w:rsidP="00846EEE">
                        <w:pPr>
                          <w:pStyle w:val="DecimalAligned"/>
                          <w:widowControl w:val="0"/>
                          <w:tabs>
                            <w:tab w:val="clear" w:pos="360"/>
                            <w:tab w:val="left" w:pos="352"/>
                            <w:tab w:val="left" w:pos="464"/>
                          </w:tabs>
                          <w:autoSpaceDE w:val="0"/>
                          <w:autoSpaceDN w:val="0"/>
                          <w:adjustRightInd w:val="0"/>
                          <w:spacing w:after="0" w:line="240" w:lineRule="auto"/>
                          <w:jc w:val="right"/>
                          <w:rPr>
                            <w:rFonts w:asciiTheme="minorHAnsi" w:hAnsiTheme="minorHAnsi" w:cstheme="minorHAnsi"/>
                            <w:b/>
                            <w:bCs/>
                            <w:sz w:val="18"/>
                            <w:szCs w:val="18"/>
                            <w:lang w:eastAsia="en-US" w:bidi="en-US"/>
                          </w:rPr>
                        </w:pPr>
                        <w:r w:rsidRPr="00997EF7">
                          <w:rPr>
                            <w:rFonts w:asciiTheme="minorHAnsi" w:hAnsiTheme="minorHAnsi" w:cstheme="minorHAnsi"/>
                            <w:b/>
                            <w:bCs/>
                            <w:sz w:val="18"/>
                            <w:szCs w:val="18"/>
                            <w:lang w:eastAsia="en-US" w:bidi="en-US"/>
                          </w:rPr>
                          <w:t>4.82</w:t>
                        </w:r>
                      </w:p>
                    </w:tc>
                    <w:tc>
                      <w:tcPr>
                        <w:tcW w:w="1748" w:type="dxa"/>
                      </w:tcPr>
                      <w:p w14:paraId="633B9222" w14:textId="48365768" w:rsidR="00551D5A" w:rsidRPr="00551D5A" w:rsidRDefault="00551D5A" w:rsidP="00846EEE">
                        <w:pPr>
                          <w:pStyle w:val="DecimalAligned"/>
                          <w:widowControl w:val="0"/>
                          <w:tabs>
                            <w:tab w:val="clear" w:pos="360"/>
                            <w:tab w:val="left" w:pos="352"/>
                            <w:tab w:val="left" w:pos="464"/>
                          </w:tabs>
                          <w:autoSpaceDE w:val="0"/>
                          <w:autoSpaceDN w:val="0"/>
                          <w:adjustRightInd w:val="0"/>
                          <w:spacing w:after="0" w:line="240" w:lineRule="auto"/>
                          <w:jc w:val="right"/>
                          <w:rPr>
                            <w:rFonts w:asciiTheme="minorHAnsi" w:hAnsiTheme="minorHAnsi" w:cstheme="minorHAnsi"/>
                            <w:sz w:val="18"/>
                            <w:szCs w:val="18"/>
                            <w:lang w:eastAsia="en-US" w:bidi="en-US"/>
                          </w:rPr>
                        </w:pPr>
                        <w:r w:rsidRPr="00551D5A">
                          <w:rPr>
                            <w:rFonts w:asciiTheme="minorHAnsi" w:hAnsiTheme="minorHAnsi" w:cstheme="minorHAnsi"/>
                            <w:sz w:val="18"/>
                            <w:szCs w:val="18"/>
                            <w:lang w:eastAsia="en-US" w:bidi="en-US"/>
                          </w:rPr>
                          <w:t>3.33</w:t>
                        </w:r>
                      </w:p>
                    </w:tc>
                    <w:tc>
                      <w:tcPr>
                        <w:tcW w:w="1748" w:type="dxa"/>
                      </w:tcPr>
                      <w:p w14:paraId="6C134B11" w14:textId="213A2A29" w:rsidR="00551D5A" w:rsidRPr="00846EEE" w:rsidRDefault="00551D5A" w:rsidP="00846EEE">
                        <w:pPr>
                          <w:pStyle w:val="DecimalAligned"/>
                          <w:widowControl w:val="0"/>
                          <w:tabs>
                            <w:tab w:val="clear" w:pos="360"/>
                            <w:tab w:val="left" w:pos="352"/>
                            <w:tab w:val="left" w:pos="464"/>
                          </w:tabs>
                          <w:autoSpaceDE w:val="0"/>
                          <w:autoSpaceDN w:val="0"/>
                          <w:adjustRightInd w:val="0"/>
                          <w:spacing w:after="0" w:line="240" w:lineRule="auto"/>
                          <w:jc w:val="right"/>
                          <w:rPr>
                            <w:rFonts w:asciiTheme="minorHAnsi" w:hAnsiTheme="minorHAnsi" w:cstheme="minorHAnsi"/>
                            <w:b/>
                            <w:color w:val="000000"/>
                            <w:sz w:val="18"/>
                            <w:szCs w:val="18"/>
                            <w:lang w:bidi="en-US"/>
                          </w:rPr>
                        </w:pPr>
                        <w:r w:rsidRPr="00551D5A">
                          <w:rPr>
                            <w:rFonts w:asciiTheme="minorHAnsi" w:hAnsiTheme="minorHAnsi" w:cstheme="minorHAnsi"/>
                            <w:sz w:val="18"/>
                            <w:szCs w:val="18"/>
                            <w:lang w:eastAsia="en-US" w:bidi="en-US"/>
                          </w:rPr>
                          <w:t>3.33</w:t>
                        </w:r>
                      </w:p>
                    </w:tc>
                  </w:tr>
                  <w:tr w:rsidR="00551D5A" w:rsidRPr="00551D5A" w14:paraId="392502A6" w14:textId="77777777" w:rsidTr="00997EF7">
                    <w:trPr>
                      <w:trHeight w:val="238"/>
                    </w:trPr>
                    <w:tc>
                      <w:tcPr>
                        <w:tcW w:w="4290" w:type="dxa"/>
                        <w:tcBorders>
                          <w:bottom w:val="single" w:sz="4" w:space="0" w:color="auto"/>
                        </w:tcBorders>
                      </w:tcPr>
                      <w:p w14:paraId="4EACA448" w14:textId="0D8C60F4" w:rsidR="00551D5A" w:rsidRPr="00551D5A" w:rsidRDefault="00551D5A" w:rsidP="00997EF7">
                        <w:pPr>
                          <w:pStyle w:val="DecimalAligned"/>
                          <w:widowControl w:val="0"/>
                          <w:tabs>
                            <w:tab w:val="clear" w:pos="360"/>
                            <w:tab w:val="left" w:pos="352"/>
                            <w:tab w:val="left" w:pos="464"/>
                          </w:tabs>
                          <w:autoSpaceDE w:val="0"/>
                          <w:autoSpaceDN w:val="0"/>
                          <w:adjustRightInd w:val="0"/>
                          <w:spacing w:after="0" w:line="240" w:lineRule="auto"/>
                          <w:ind w:hanging="68"/>
                          <w:jc w:val="both"/>
                          <w:rPr>
                            <w:rFonts w:asciiTheme="minorHAnsi" w:hAnsiTheme="minorHAnsi" w:cstheme="minorHAnsi"/>
                            <w:sz w:val="18"/>
                            <w:szCs w:val="18"/>
                            <w:lang w:eastAsia="en-US" w:bidi="en-US"/>
                          </w:rPr>
                        </w:pPr>
                        <w:r w:rsidRPr="00551D5A">
                          <w:rPr>
                            <w:rFonts w:asciiTheme="minorHAnsi" w:hAnsiTheme="minorHAnsi" w:cstheme="minorHAnsi"/>
                            <w:sz w:val="18"/>
                            <w:szCs w:val="18"/>
                            <w:lang w:eastAsia="en-US" w:bidi="en-US"/>
                          </w:rPr>
                          <w:t>Interim declared and paid</w:t>
                        </w:r>
                      </w:p>
                    </w:tc>
                    <w:tc>
                      <w:tcPr>
                        <w:tcW w:w="1748" w:type="dxa"/>
                        <w:tcBorders>
                          <w:bottom w:val="single" w:sz="4" w:space="0" w:color="auto"/>
                        </w:tcBorders>
                      </w:tcPr>
                      <w:p w14:paraId="0C5F7A85" w14:textId="3FA73A6F" w:rsidR="00551D5A" w:rsidRPr="00997EF7" w:rsidRDefault="00984E3D" w:rsidP="00846EEE">
                        <w:pPr>
                          <w:pStyle w:val="DecimalAligned"/>
                          <w:widowControl w:val="0"/>
                          <w:tabs>
                            <w:tab w:val="clear" w:pos="360"/>
                            <w:tab w:val="left" w:pos="352"/>
                            <w:tab w:val="left" w:pos="464"/>
                          </w:tabs>
                          <w:autoSpaceDE w:val="0"/>
                          <w:autoSpaceDN w:val="0"/>
                          <w:adjustRightInd w:val="0"/>
                          <w:spacing w:after="0" w:line="240" w:lineRule="auto"/>
                          <w:jc w:val="right"/>
                          <w:rPr>
                            <w:rFonts w:asciiTheme="minorHAnsi" w:hAnsiTheme="minorHAnsi" w:cstheme="minorHAnsi"/>
                            <w:b/>
                            <w:bCs/>
                            <w:sz w:val="18"/>
                            <w:szCs w:val="18"/>
                            <w:lang w:eastAsia="en-US" w:bidi="en-US"/>
                          </w:rPr>
                        </w:pPr>
                        <w:r w:rsidRPr="00997EF7">
                          <w:rPr>
                            <w:rFonts w:asciiTheme="minorHAnsi" w:hAnsiTheme="minorHAnsi" w:cstheme="minorHAnsi"/>
                            <w:b/>
                            <w:bCs/>
                            <w:sz w:val="18"/>
                            <w:szCs w:val="18"/>
                            <w:lang w:eastAsia="en-US" w:bidi="en-US"/>
                          </w:rPr>
                          <w:t>-</w:t>
                        </w:r>
                      </w:p>
                    </w:tc>
                    <w:tc>
                      <w:tcPr>
                        <w:tcW w:w="1748" w:type="dxa"/>
                        <w:tcBorders>
                          <w:bottom w:val="single" w:sz="4" w:space="0" w:color="auto"/>
                        </w:tcBorders>
                      </w:tcPr>
                      <w:p w14:paraId="45EBE7A7" w14:textId="0D7990DD" w:rsidR="00551D5A" w:rsidRPr="00551D5A" w:rsidRDefault="00984E3D" w:rsidP="00846EEE">
                        <w:pPr>
                          <w:pStyle w:val="DecimalAligned"/>
                          <w:widowControl w:val="0"/>
                          <w:tabs>
                            <w:tab w:val="clear" w:pos="360"/>
                            <w:tab w:val="left" w:pos="352"/>
                            <w:tab w:val="left" w:pos="464"/>
                          </w:tabs>
                          <w:autoSpaceDE w:val="0"/>
                          <w:autoSpaceDN w:val="0"/>
                          <w:adjustRightInd w:val="0"/>
                          <w:spacing w:after="0" w:line="240" w:lineRule="auto"/>
                          <w:jc w:val="right"/>
                          <w:rPr>
                            <w:rFonts w:asciiTheme="minorHAnsi" w:hAnsiTheme="minorHAnsi" w:cstheme="minorHAnsi"/>
                            <w:sz w:val="18"/>
                            <w:szCs w:val="18"/>
                            <w:lang w:eastAsia="en-US" w:bidi="en-US"/>
                          </w:rPr>
                        </w:pPr>
                        <w:r>
                          <w:rPr>
                            <w:rFonts w:asciiTheme="minorHAnsi" w:hAnsiTheme="minorHAnsi" w:cstheme="minorHAnsi"/>
                            <w:sz w:val="18"/>
                            <w:szCs w:val="18"/>
                            <w:lang w:eastAsia="en-US" w:bidi="en-US"/>
                          </w:rPr>
                          <w:t>-</w:t>
                        </w:r>
                      </w:p>
                    </w:tc>
                    <w:tc>
                      <w:tcPr>
                        <w:tcW w:w="1748" w:type="dxa"/>
                        <w:tcBorders>
                          <w:bottom w:val="single" w:sz="4" w:space="0" w:color="auto"/>
                        </w:tcBorders>
                      </w:tcPr>
                      <w:p w14:paraId="4956A4B7" w14:textId="4F70180C" w:rsidR="00551D5A" w:rsidRPr="00846EEE" w:rsidRDefault="00551D5A" w:rsidP="00846EEE">
                        <w:pPr>
                          <w:pStyle w:val="DecimalAligned"/>
                          <w:widowControl w:val="0"/>
                          <w:tabs>
                            <w:tab w:val="clear" w:pos="360"/>
                            <w:tab w:val="left" w:pos="352"/>
                            <w:tab w:val="left" w:pos="464"/>
                          </w:tabs>
                          <w:autoSpaceDE w:val="0"/>
                          <w:autoSpaceDN w:val="0"/>
                          <w:adjustRightInd w:val="0"/>
                          <w:spacing w:after="0" w:line="240" w:lineRule="auto"/>
                          <w:jc w:val="right"/>
                          <w:rPr>
                            <w:rFonts w:asciiTheme="minorHAnsi" w:hAnsiTheme="minorHAnsi" w:cstheme="minorHAnsi"/>
                            <w:b/>
                            <w:color w:val="000000"/>
                            <w:sz w:val="18"/>
                            <w:szCs w:val="18"/>
                            <w:lang w:bidi="en-US"/>
                          </w:rPr>
                        </w:pPr>
                        <w:r w:rsidRPr="00551D5A">
                          <w:rPr>
                            <w:rFonts w:asciiTheme="minorHAnsi" w:hAnsiTheme="minorHAnsi" w:cstheme="minorHAnsi"/>
                            <w:sz w:val="18"/>
                            <w:szCs w:val="18"/>
                            <w:lang w:eastAsia="en-US" w:bidi="en-US"/>
                          </w:rPr>
                          <w:t>2.30</w:t>
                        </w:r>
                      </w:p>
                    </w:tc>
                  </w:tr>
                  <w:tr w:rsidR="00551D5A" w:rsidRPr="00551D5A" w14:paraId="39803C7E" w14:textId="77777777" w:rsidTr="00997EF7">
                    <w:trPr>
                      <w:trHeight w:val="114"/>
                    </w:trPr>
                    <w:tc>
                      <w:tcPr>
                        <w:tcW w:w="4290" w:type="dxa"/>
                        <w:tcBorders>
                          <w:top w:val="single" w:sz="4" w:space="0" w:color="auto"/>
                          <w:bottom w:val="single" w:sz="4" w:space="0" w:color="auto"/>
                        </w:tcBorders>
                      </w:tcPr>
                      <w:p w14:paraId="169CF212" w14:textId="77777777" w:rsidR="00551D5A" w:rsidRPr="00551D5A" w:rsidRDefault="00551D5A" w:rsidP="00551D5A">
                        <w:pPr>
                          <w:pStyle w:val="DecimalAligned"/>
                          <w:widowControl w:val="0"/>
                          <w:tabs>
                            <w:tab w:val="clear" w:pos="360"/>
                            <w:tab w:val="left" w:pos="352"/>
                            <w:tab w:val="left" w:pos="464"/>
                          </w:tabs>
                          <w:autoSpaceDE w:val="0"/>
                          <w:autoSpaceDN w:val="0"/>
                          <w:adjustRightInd w:val="0"/>
                          <w:spacing w:after="0" w:line="240" w:lineRule="auto"/>
                          <w:jc w:val="both"/>
                          <w:rPr>
                            <w:rFonts w:asciiTheme="minorHAnsi" w:hAnsiTheme="minorHAnsi" w:cstheme="minorHAnsi"/>
                            <w:sz w:val="18"/>
                            <w:szCs w:val="18"/>
                            <w:lang w:eastAsia="en-US" w:bidi="en-US"/>
                          </w:rPr>
                        </w:pPr>
                      </w:p>
                    </w:tc>
                    <w:tc>
                      <w:tcPr>
                        <w:tcW w:w="1748" w:type="dxa"/>
                        <w:tcBorders>
                          <w:top w:val="single" w:sz="4" w:space="0" w:color="auto"/>
                          <w:bottom w:val="single" w:sz="4" w:space="0" w:color="auto"/>
                        </w:tcBorders>
                      </w:tcPr>
                      <w:p w14:paraId="6609A27F" w14:textId="5F70AF35" w:rsidR="00551D5A" w:rsidRPr="00997EF7" w:rsidRDefault="00551D5A" w:rsidP="00846EEE">
                        <w:pPr>
                          <w:pStyle w:val="DecimalAligned"/>
                          <w:widowControl w:val="0"/>
                          <w:tabs>
                            <w:tab w:val="clear" w:pos="360"/>
                            <w:tab w:val="left" w:pos="352"/>
                            <w:tab w:val="left" w:pos="464"/>
                          </w:tabs>
                          <w:autoSpaceDE w:val="0"/>
                          <w:autoSpaceDN w:val="0"/>
                          <w:adjustRightInd w:val="0"/>
                          <w:spacing w:after="0" w:line="240" w:lineRule="auto"/>
                          <w:jc w:val="right"/>
                          <w:rPr>
                            <w:rFonts w:asciiTheme="minorHAnsi" w:hAnsiTheme="minorHAnsi" w:cstheme="minorHAnsi"/>
                            <w:b/>
                            <w:bCs/>
                            <w:sz w:val="18"/>
                            <w:szCs w:val="18"/>
                            <w:lang w:eastAsia="en-US" w:bidi="en-US"/>
                          </w:rPr>
                        </w:pPr>
                        <w:r w:rsidRPr="00997EF7">
                          <w:rPr>
                            <w:rFonts w:asciiTheme="minorHAnsi" w:hAnsiTheme="minorHAnsi" w:cstheme="minorHAnsi"/>
                            <w:b/>
                            <w:bCs/>
                            <w:sz w:val="18"/>
                            <w:szCs w:val="18"/>
                            <w:lang w:eastAsia="en-US" w:bidi="en-US"/>
                          </w:rPr>
                          <w:t>4.82</w:t>
                        </w:r>
                      </w:p>
                    </w:tc>
                    <w:tc>
                      <w:tcPr>
                        <w:tcW w:w="1748" w:type="dxa"/>
                        <w:tcBorders>
                          <w:top w:val="single" w:sz="4" w:space="0" w:color="auto"/>
                          <w:bottom w:val="single" w:sz="4" w:space="0" w:color="auto"/>
                        </w:tcBorders>
                      </w:tcPr>
                      <w:p w14:paraId="1AABC040" w14:textId="7FF0C17F" w:rsidR="00551D5A" w:rsidRPr="00551D5A" w:rsidRDefault="00551D5A" w:rsidP="00846EEE">
                        <w:pPr>
                          <w:pStyle w:val="DecimalAligned"/>
                          <w:widowControl w:val="0"/>
                          <w:tabs>
                            <w:tab w:val="clear" w:pos="360"/>
                            <w:tab w:val="left" w:pos="352"/>
                            <w:tab w:val="left" w:pos="464"/>
                          </w:tabs>
                          <w:autoSpaceDE w:val="0"/>
                          <w:autoSpaceDN w:val="0"/>
                          <w:adjustRightInd w:val="0"/>
                          <w:spacing w:after="0" w:line="240" w:lineRule="auto"/>
                          <w:jc w:val="right"/>
                          <w:rPr>
                            <w:rFonts w:asciiTheme="minorHAnsi" w:hAnsiTheme="minorHAnsi" w:cstheme="minorHAnsi"/>
                            <w:sz w:val="18"/>
                            <w:szCs w:val="18"/>
                            <w:lang w:eastAsia="en-US" w:bidi="en-US"/>
                          </w:rPr>
                        </w:pPr>
                        <w:r w:rsidRPr="00551D5A">
                          <w:rPr>
                            <w:rFonts w:asciiTheme="minorHAnsi" w:hAnsiTheme="minorHAnsi" w:cstheme="minorHAnsi"/>
                            <w:sz w:val="18"/>
                            <w:szCs w:val="18"/>
                            <w:lang w:eastAsia="en-US" w:bidi="en-US"/>
                          </w:rPr>
                          <w:t>3.33</w:t>
                        </w:r>
                      </w:p>
                    </w:tc>
                    <w:tc>
                      <w:tcPr>
                        <w:tcW w:w="1748" w:type="dxa"/>
                        <w:tcBorders>
                          <w:top w:val="single" w:sz="4" w:space="0" w:color="auto"/>
                          <w:bottom w:val="single" w:sz="4" w:space="0" w:color="auto"/>
                        </w:tcBorders>
                      </w:tcPr>
                      <w:p w14:paraId="5E5B4961" w14:textId="1A576432" w:rsidR="00551D5A" w:rsidRPr="00846EEE" w:rsidRDefault="00551D5A" w:rsidP="00846EEE">
                        <w:pPr>
                          <w:pStyle w:val="DecimalAligned"/>
                          <w:widowControl w:val="0"/>
                          <w:tabs>
                            <w:tab w:val="clear" w:pos="360"/>
                            <w:tab w:val="left" w:pos="352"/>
                            <w:tab w:val="left" w:pos="464"/>
                          </w:tabs>
                          <w:autoSpaceDE w:val="0"/>
                          <w:autoSpaceDN w:val="0"/>
                          <w:adjustRightInd w:val="0"/>
                          <w:spacing w:after="0" w:line="240" w:lineRule="auto"/>
                          <w:jc w:val="right"/>
                          <w:rPr>
                            <w:rFonts w:asciiTheme="minorHAnsi" w:hAnsiTheme="minorHAnsi" w:cstheme="minorHAnsi"/>
                            <w:b/>
                            <w:color w:val="000000"/>
                            <w:sz w:val="18"/>
                            <w:szCs w:val="18"/>
                            <w:lang w:bidi="en-US"/>
                          </w:rPr>
                        </w:pPr>
                        <w:r w:rsidRPr="00551D5A">
                          <w:rPr>
                            <w:rFonts w:asciiTheme="minorHAnsi" w:hAnsiTheme="minorHAnsi" w:cstheme="minorHAnsi"/>
                            <w:sz w:val="18"/>
                            <w:szCs w:val="18"/>
                            <w:lang w:eastAsia="en-US" w:bidi="en-US"/>
                          </w:rPr>
                          <w:t>5.63</w:t>
                        </w:r>
                      </w:p>
                    </w:tc>
                  </w:tr>
                </w:tbl>
                <w:p w14:paraId="13AE7627" w14:textId="7FC0BAA2" w:rsidR="00551D5A" w:rsidRPr="00846EEE" w:rsidRDefault="00551D5A" w:rsidP="00551D5A">
                  <w:pPr>
                    <w:pStyle w:val="DecimalAligned"/>
                    <w:widowControl w:val="0"/>
                    <w:tabs>
                      <w:tab w:val="clear" w:pos="360"/>
                      <w:tab w:val="left" w:pos="352"/>
                      <w:tab w:val="left" w:pos="464"/>
                    </w:tabs>
                    <w:autoSpaceDE w:val="0"/>
                    <w:autoSpaceDN w:val="0"/>
                    <w:adjustRightInd w:val="0"/>
                    <w:spacing w:after="0" w:line="240" w:lineRule="auto"/>
                    <w:jc w:val="both"/>
                    <w:rPr>
                      <w:rFonts w:asciiTheme="minorHAnsi" w:hAnsiTheme="minorHAnsi" w:cstheme="minorHAnsi"/>
                      <w:b/>
                      <w:color w:val="000000"/>
                      <w:sz w:val="18"/>
                      <w:szCs w:val="18"/>
                      <w:lang w:bidi="en-US"/>
                    </w:rPr>
                  </w:pPr>
                </w:p>
                <w:p w14:paraId="6256E32F" w14:textId="2DCBC572" w:rsidR="00D95251" w:rsidRPr="00846EEE" w:rsidRDefault="00FE2424" w:rsidP="0047121F">
                  <w:pPr>
                    <w:pStyle w:val="DecimalAligned"/>
                    <w:widowControl w:val="0"/>
                    <w:tabs>
                      <w:tab w:val="clear" w:pos="360"/>
                      <w:tab w:val="left" w:pos="352"/>
                      <w:tab w:val="left" w:pos="464"/>
                    </w:tabs>
                    <w:autoSpaceDE w:val="0"/>
                    <w:autoSpaceDN w:val="0"/>
                    <w:adjustRightInd w:val="0"/>
                    <w:spacing w:after="0" w:line="240" w:lineRule="auto"/>
                    <w:jc w:val="both"/>
                    <w:rPr>
                      <w:rFonts w:asciiTheme="minorHAnsi" w:hAnsiTheme="minorHAnsi" w:cstheme="minorHAnsi"/>
                      <w:b/>
                      <w:color w:val="000000"/>
                      <w:sz w:val="18"/>
                      <w:szCs w:val="18"/>
                      <w:lang w:bidi="en-US"/>
                    </w:rPr>
                  </w:pPr>
                  <w:r w:rsidRPr="00997EF7">
                    <w:rPr>
                      <w:rFonts w:asciiTheme="minorHAnsi" w:hAnsiTheme="minorHAnsi" w:cstheme="minorHAnsi"/>
                      <w:color w:val="000000"/>
                      <w:sz w:val="18"/>
                      <w:szCs w:val="18"/>
                    </w:rPr>
                    <w:t xml:space="preserve">An interim dividend of </w:t>
                  </w:r>
                  <w:r w:rsidR="00FF3F3F" w:rsidRPr="00997EF7">
                    <w:rPr>
                      <w:rFonts w:asciiTheme="minorHAnsi" w:hAnsiTheme="minorHAnsi" w:cstheme="minorHAnsi"/>
                      <w:color w:val="000000"/>
                      <w:sz w:val="18"/>
                      <w:szCs w:val="18"/>
                    </w:rPr>
                    <w:t>2.</w:t>
                  </w:r>
                  <w:r w:rsidR="000A00C3">
                    <w:rPr>
                      <w:rFonts w:asciiTheme="minorHAnsi" w:hAnsiTheme="minorHAnsi" w:cstheme="minorHAnsi"/>
                      <w:color w:val="000000"/>
                      <w:sz w:val="18"/>
                      <w:szCs w:val="18"/>
                    </w:rPr>
                    <w:t>4</w:t>
                  </w:r>
                  <w:r w:rsidR="00FF3F3F" w:rsidRPr="00997EF7">
                    <w:rPr>
                      <w:rFonts w:asciiTheme="minorHAnsi" w:hAnsiTheme="minorHAnsi" w:cstheme="minorHAnsi"/>
                      <w:color w:val="000000"/>
                      <w:sz w:val="18"/>
                      <w:szCs w:val="18"/>
                    </w:rPr>
                    <w:t>3</w:t>
                  </w:r>
                  <w:r w:rsidRPr="00997EF7">
                    <w:rPr>
                      <w:rFonts w:asciiTheme="minorHAnsi" w:hAnsiTheme="minorHAnsi" w:cstheme="minorHAnsi"/>
                      <w:color w:val="000000"/>
                      <w:sz w:val="18"/>
                      <w:szCs w:val="18"/>
                    </w:rPr>
                    <w:t xml:space="preserve">p per share was approved by the Board on </w:t>
                  </w:r>
                  <w:r w:rsidR="00FF3F3F" w:rsidRPr="00997EF7">
                    <w:rPr>
                      <w:rFonts w:asciiTheme="minorHAnsi" w:hAnsiTheme="minorHAnsi" w:cstheme="minorHAnsi"/>
                      <w:color w:val="000000"/>
                      <w:sz w:val="18"/>
                      <w:szCs w:val="18"/>
                    </w:rPr>
                    <w:t>28</w:t>
                  </w:r>
                  <w:r w:rsidR="009F4AFF" w:rsidRPr="00997EF7">
                    <w:rPr>
                      <w:rFonts w:asciiTheme="minorHAnsi" w:hAnsiTheme="minorHAnsi" w:cstheme="minorHAnsi"/>
                      <w:color w:val="000000"/>
                      <w:sz w:val="18"/>
                      <w:szCs w:val="18"/>
                    </w:rPr>
                    <w:t xml:space="preserve"> April 20</w:t>
                  </w:r>
                  <w:r w:rsidR="0047121F" w:rsidRPr="00997EF7">
                    <w:rPr>
                      <w:rFonts w:asciiTheme="minorHAnsi" w:hAnsiTheme="minorHAnsi" w:cstheme="minorHAnsi"/>
                      <w:color w:val="000000"/>
                      <w:sz w:val="18"/>
                      <w:szCs w:val="18"/>
                    </w:rPr>
                    <w:t>23</w:t>
                  </w:r>
                  <w:r w:rsidRPr="00997EF7">
                    <w:rPr>
                      <w:rFonts w:asciiTheme="minorHAnsi" w:hAnsiTheme="minorHAnsi" w:cstheme="minorHAnsi"/>
                      <w:color w:val="000000"/>
                      <w:sz w:val="18"/>
                      <w:szCs w:val="18"/>
                    </w:rPr>
                    <w:t xml:space="preserve"> and will be paid on </w:t>
                  </w:r>
                  <w:r w:rsidR="00997EF7" w:rsidRPr="00997EF7">
                    <w:rPr>
                      <w:rFonts w:asciiTheme="minorHAnsi" w:hAnsiTheme="minorHAnsi" w:cstheme="minorHAnsi"/>
                      <w:color w:val="000000"/>
                      <w:sz w:val="18"/>
                      <w:szCs w:val="18"/>
                    </w:rPr>
                    <w:t>30 June</w:t>
                  </w:r>
                  <w:r w:rsidR="000A00C3">
                    <w:rPr>
                      <w:rFonts w:asciiTheme="minorHAnsi" w:hAnsiTheme="minorHAnsi" w:cstheme="minorHAnsi"/>
                      <w:color w:val="000000"/>
                      <w:sz w:val="18"/>
                      <w:szCs w:val="18"/>
                    </w:rPr>
                    <w:t xml:space="preserve"> </w:t>
                  </w:r>
                  <w:r w:rsidR="00596FF4" w:rsidRPr="00997EF7">
                    <w:rPr>
                      <w:rFonts w:asciiTheme="minorHAnsi" w:hAnsiTheme="minorHAnsi" w:cstheme="minorHAnsi"/>
                      <w:color w:val="000000"/>
                      <w:sz w:val="18"/>
                      <w:szCs w:val="18"/>
                    </w:rPr>
                    <w:t>20</w:t>
                  </w:r>
                  <w:r w:rsidR="0047121F" w:rsidRPr="00997EF7">
                    <w:rPr>
                      <w:rFonts w:asciiTheme="minorHAnsi" w:hAnsiTheme="minorHAnsi" w:cstheme="minorHAnsi"/>
                      <w:color w:val="000000"/>
                      <w:sz w:val="18"/>
                      <w:szCs w:val="18"/>
                    </w:rPr>
                    <w:t>23</w:t>
                  </w:r>
                  <w:r w:rsidRPr="00997EF7">
                    <w:rPr>
                      <w:rFonts w:asciiTheme="minorHAnsi" w:hAnsiTheme="minorHAnsi" w:cstheme="minorHAnsi"/>
                      <w:color w:val="000000"/>
                      <w:sz w:val="18"/>
                      <w:szCs w:val="18"/>
                    </w:rPr>
                    <w:t xml:space="preserve"> to shareholders on record as </w:t>
                  </w:r>
                  <w:proofErr w:type="gramStart"/>
                  <w:r w:rsidRPr="00997EF7">
                    <w:rPr>
                      <w:rFonts w:asciiTheme="minorHAnsi" w:hAnsiTheme="minorHAnsi" w:cstheme="minorHAnsi"/>
                      <w:color w:val="000000"/>
                      <w:sz w:val="18"/>
                      <w:szCs w:val="18"/>
                    </w:rPr>
                    <w:t>at</w:t>
                  </w:r>
                  <w:proofErr w:type="gramEnd"/>
                  <w:r w:rsidRPr="00997EF7">
                    <w:rPr>
                      <w:rFonts w:asciiTheme="minorHAnsi" w:hAnsiTheme="minorHAnsi" w:cstheme="minorHAnsi"/>
                      <w:color w:val="000000"/>
                      <w:sz w:val="18"/>
                      <w:szCs w:val="18"/>
                    </w:rPr>
                    <w:t xml:space="preserve"> </w:t>
                  </w:r>
                  <w:r w:rsidR="00997EF7" w:rsidRPr="00997EF7">
                    <w:rPr>
                      <w:rFonts w:asciiTheme="minorHAnsi" w:hAnsiTheme="minorHAnsi" w:cstheme="minorHAnsi"/>
                      <w:color w:val="000000"/>
                      <w:sz w:val="18"/>
                      <w:szCs w:val="18"/>
                    </w:rPr>
                    <w:t>2</w:t>
                  </w:r>
                  <w:r w:rsidR="000A00C3">
                    <w:rPr>
                      <w:rFonts w:asciiTheme="minorHAnsi" w:hAnsiTheme="minorHAnsi" w:cstheme="minorHAnsi"/>
                      <w:color w:val="000000"/>
                      <w:sz w:val="18"/>
                      <w:szCs w:val="18"/>
                    </w:rPr>
                    <w:t xml:space="preserve"> </w:t>
                  </w:r>
                  <w:r w:rsidR="00997EF7" w:rsidRPr="00997EF7">
                    <w:rPr>
                      <w:rFonts w:asciiTheme="minorHAnsi" w:hAnsiTheme="minorHAnsi" w:cstheme="minorHAnsi"/>
                      <w:color w:val="000000"/>
                      <w:sz w:val="18"/>
                      <w:szCs w:val="18"/>
                    </w:rPr>
                    <w:t>June</w:t>
                  </w:r>
                  <w:r w:rsidR="00596FF4" w:rsidRPr="00997EF7">
                    <w:rPr>
                      <w:rFonts w:asciiTheme="minorHAnsi" w:hAnsiTheme="minorHAnsi" w:cstheme="minorHAnsi"/>
                      <w:color w:val="000000"/>
                      <w:sz w:val="18"/>
                      <w:szCs w:val="18"/>
                    </w:rPr>
                    <w:t xml:space="preserve"> 20</w:t>
                  </w:r>
                  <w:r w:rsidR="0047121F" w:rsidRPr="00997EF7">
                    <w:rPr>
                      <w:rFonts w:asciiTheme="minorHAnsi" w:hAnsiTheme="minorHAnsi" w:cstheme="minorHAnsi"/>
                      <w:color w:val="000000"/>
                      <w:sz w:val="18"/>
                      <w:szCs w:val="18"/>
                    </w:rPr>
                    <w:t>23</w:t>
                  </w:r>
                  <w:r w:rsidR="00AC3DFC">
                    <w:rPr>
                      <w:rFonts w:asciiTheme="minorHAnsi" w:hAnsiTheme="minorHAnsi" w:cstheme="minorHAnsi"/>
                      <w:color w:val="000000"/>
                      <w:sz w:val="18"/>
                      <w:szCs w:val="18"/>
                    </w:rPr>
                    <w:t xml:space="preserve"> </w:t>
                  </w:r>
                  <w:r w:rsidR="00AC3DFC" w:rsidRPr="00752D90">
                    <w:rPr>
                      <w:rFonts w:asciiTheme="minorHAnsi" w:hAnsiTheme="minorHAnsi" w:cstheme="minorHAnsi"/>
                      <w:color w:val="000000"/>
                      <w:sz w:val="18"/>
                      <w:szCs w:val="18"/>
                      <w:lang w:val="en-GB"/>
                    </w:rPr>
                    <w:t>(ex-dividend date being 1 June 2023)</w:t>
                  </w:r>
                  <w:r w:rsidRPr="00997EF7">
                    <w:rPr>
                      <w:rFonts w:asciiTheme="minorHAnsi" w:hAnsiTheme="minorHAnsi" w:cstheme="minorHAnsi"/>
                      <w:color w:val="000000"/>
                      <w:sz w:val="18"/>
                      <w:szCs w:val="18"/>
                    </w:rPr>
                    <w:t>.</w:t>
                  </w:r>
                </w:p>
                <w:p w14:paraId="53399162" w14:textId="77777777" w:rsidR="00443AAF" w:rsidRPr="00846EEE" w:rsidRDefault="00443AAF" w:rsidP="0047121F">
                  <w:pPr>
                    <w:pStyle w:val="DecimalAligned"/>
                    <w:widowControl w:val="0"/>
                    <w:tabs>
                      <w:tab w:val="clear" w:pos="360"/>
                      <w:tab w:val="left" w:pos="352"/>
                      <w:tab w:val="left" w:pos="464"/>
                    </w:tabs>
                    <w:autoSpaceDE w:val="0"/>
                    <w:autoSpaceDN w:val="0"/>
                    <w:adjustRightInd w:val="0"/>
                    <w:spacing w:after="0" w:line="240" w:lineRule="auto"/>
                    <w:jc w:val="both"/>
                    <w:rPr>
                      <w:rFonts w:asciiTheme="minorHAnsi" w:hAnsiTheme="minorHAnsi" w:cstheme="minorHAnsi"/>
                      <w:color w:val="000000"/>
                      <w:sz w:val="18"/>
                      <w:szCs w:val="18"/>
                    </w:rPr>
                  </w:pPr>
                </w:p>
                <w:p w14:paraId="628B3E62" w14:textId="77777777" w:rsidR="00886D90" w:rsidRPr="00846EEE" w:rsidRDefault="00E96DA4" w:rsidP="0047121F">
                  <w:pPr>
                    <w:pStyle w:val="DecimalAligned"/>
                    <w:widowControl w:val="0"/>
                    <w:numPr>
                      <w:ilvl w:val="0"/>
                      <w:numId w:val="1"/>
                    </w:numPr>
                    <w:tabs>
                      <w:tab w:val="clear" w:pos="360"/>
                      <w:tab w:val="left" w:pos="352"/>
                      <w:tab w:val="left" w:pos="464"/>
                    </w:tabs>
                    <w:autoSpaceDE w:val="0"/>
                    <w:autoSpaceDN w:val="0"/>
                    <w:adjustRightInd w:val="0"/>
                    <w:spacing w:after="0" w:line="240" w:lineRule="auto"/>
                    <w:ind w:hanging="720"/>
                    <w:jc w:val="both"/>
                    <w:rPr>
                      <w:rFonts w:asciiTheme="minorHAnsi" w:hAnsiTheme="minorHAnsi" w:cstheme="minorHAnsi"/>
                      <w:b/>
                      <w:color w:val="000000"/>
                      <w:sz w:val="18"/>
                      <w:szCs w:val="18"/>
                      <w:lang w:bidi="en-US"/>
                    </w:rPr>
                  </w:pPr>
                  <w:r w:rsidRPr="00846EEE">
                    <w:rPr>
                      <w:rFonts w:asciiTheme="minorHAnsi" w:hAnsiTheme="minorHAnsi" w:cstheme="minorHAnsi"/>
                      <w:b/>
                      <w:color w:val="000000"/>
                      <w:sz w:val="18"/>
                      <w:szCs w:val="18"/>
                      <w:lang w:bidi="en-US"/>
                    </w:rPr>
                    <w:t>Borrowings</w:t>
                  </w:r>
                </w:p>
                <w:tbl>
                  <w:tblPr>
                    <w:tblW w:w="9481" w:type="dxa"/>
                    <w:tblBorders>
                      <w:top w:val="single" w:sz="8" w:space="0" w:color="4F81BD"/>
                      <w:bottom w:val="single" w:sz="8" w:space="0" w:color="4F81BD"/>
                    </w:tblBorders>
                    <w:tblLayout w:type="fixed"/>
                    <w:tblLook w:val="0660" w:firstRow="1" w:lastRow="1" w:firstColumn="0" w:lastColumn="0" w:noHBand="1" w:noVBand="1"/>
                  </w:tblPr>
                  <w:tblGrid>
                    <w:gridCol w:w="4857"/>
                    <w:gridCol w:w="1541"/>
                    <w:gridCol w:w="1541"/>
                    <w:gridCol w:w="1542"/>
                  </w:tblGrid>
                  <w:tr w:rsidR="00781C85" w:rsidRPr="00551D5A" w14:paraId="4E769D32" w14:textId="77777777" w:rsidTr="00997EF7">
                    <w:trPr>
                      <w:trHeight w:val="343"/>
                    </w:trPr>
                    <w:tc>
                      <w:tcPr>
                        <w:tcW w:w="4857" w:type="dxa"/>
                        <w:tcBorders>
                          <w:top w:val="nil"/>
                          <w:left w:val="nil"/>
                          <w:bottom w:val="nil"/>
                          <w:right w:val="nil"/>
                        </w:tcBorders>
                        <w:shd w:val="clear" w:color="auto" w:fill="auto"/>
                      </w:tcPr>
                      <w:p w14:paraId="12E51104" w14:textId="77777777" w:rsidR="00781C85" w:rsidRPr="00846EEE" w:rsidRDefault="00781C85" w:rsidP="0047121F">
                        <w:pPr>
                          <w:spacing w:after="0" w:line="240" w:lineRule="auto"/>
                          <w:rPr>
                            <w:rFonts w:asciiTheme="minorHAnsi" w:hAnsiTheme="minorHAnsi" w:cstheme="minorHAnsi"/>
                            <w:b/>
                            <w:bCs/>
                            <w:color w:val="000000"/>
                            <w:sz w:val="18"/>
                            <w:szCs w:val="18"/>
                            <w:lang w:val="en-US" w:bidi="en-US"/>
                          </w:rPr>
                        </w:pPr>
                      </w:p>
                      <w:p w14:paraId="78CA9101" w14:textId="77777777" w:rsidR="00781C85" w:rsidRPr="00846EEE" w:rsidRDefault="00781C85" w:rsidP="0047121F">
                        <w:pPr>
                          <w:spacing w:after="0" w:line="240" w:lineRule="auto"/>
                          <w:rPr>
                            <w:rFonts w:asciiTheme="minorHAnsi" w:hAnsiTheme="minorHAnsi" w:cstheme="minorHAnsi"/>
                            <w:b/>
                            <w:bCs/>
                            <w:color w:val="000000"/>
                            <w:sz w:val="18"/>
                            <w:szCs w:val="18"/>
                            <w:lang w:val="en-US" w:bidi="en-US"/>
                          </w:rPr>
                        </w:pPr>
                      </w:p>
                      <w:p w14:paraId="0E29C94E" w14:textId="77777777" w:rsidR="00781C85" w:rsidRPr="00846EEE" w:rsidRDefault="00781C85" w:rsidP="0047121F">
                        <w:pPr>
                          <w:spacing w:after="0" w:line="240" w:lineRule="auto"/>
                          <w:rPr>
                            <w:rFonts w:asciiTheme="minorHAnsi" w:hAnsiTheme="minorHAnsi" w:cstheme="minorHAnsi"/>
                            <w:b/>
                            <w:bCs/>
                            <w:color w:val="000000"/>
                            <w:sz w:val="18"/>
                            <w:szCs w:val="18"/>
                            <w:lang w:val="en-US" w:bidi="en-US"/>
                          </w:rPr>
                        </w:pPr>
                      </w:p>
                    </w:tc>
                    <w:tc>
                      <w:tcPr>
                        <w:tcW w:w="1541" w:type="dxa"/>
                        <w:tcBorders>
                          <w:top w:val="nil"/>
                          <w:left w:val="nil"/>
                          <w:bottom w:val="nil"/>
                          <w:right w:val="nil"/>
                        </w:tcBorders>
                        <w:shd w:val="clear" w:color="auto" w:fill="auto"/>
                        <w:vAlign w:val="bottom"/>
                      </w:tcPr>
                      <w:p w14:paraId="0063CB72" w14:textId="7CE65855" w:rsidR="00781C85" w:rsidRPr="00846EEE" w:rsidRDefault="00781C85" w:rsidP="000D62C9">
                        <w:pPr>
                          <w:spacing w:after="0" w:line="240" w:lineRule="auto"/>
                          <w:jc w:val="right"/>
                          <w:rPr>
                            <w:rFonts w:asciiTheme="minorHAnsi" w:hAnsiTheme="minorHAnsi" w:cstheme="minorHAnsi"/>
                            <w:b/>
                            <w:bCs/>
                            <w:color w:val="000000"/>
                            <w:sz w:val="18"/>
                            <w:szCs w:val="18"/>
                            <w:lang w:val="en-US" w:bidi="en-US"/>
                          </w:rPr>
                        </w:pPr>
                        <w:r w:rsidRPr="00846EEE">
                          <w:rPr>
                            <w:rFonts w:asciiTheme="minorHAnsi" w:hAnsiTheme="minorHAnsi" w:cstheme="minorHAnsi"/>
                            <w:b/>
                            <w:bCs/>
                            <w:color w:val="000000"/>
                            <w:sz w:val="18"/>
                            <w:szCs w:val="18"/>
                            <w:lang w:val="en-US" w:bidi="en-US"/>
                          </w:rPr>
                          <w:t>As at</w:t>
                        </w:r>
                        <w:r w:rsidRPr="00846EEE">
                          <w:rPr>
                            <w:rFonts w:asciiTheme="minorHAnsi" w:hAnsiTheme="minorHAnsi" w:cstheme="minorHAnsi"/>
                            <w:b/>
                            <w:bCs/>
                            <w:color w:val="000000"/>
                            <w:sz w:val="18"/>
                            <w:szCs w:val="18"/>
                            <w:lang w:val="en-US" w:bidi="en-US"/>
                          </w:rPr>
                          <w:br/>
                          <w:t>31 Jan</w:t>
                        </w:r>
                        <w:r w:rsidR="000D62C9">
                          <w:rPr>
                            <w:rFonts w:asciiTheme="minorHAnsi" w:hAnsiTheme="minorHAnsi" w:cstheme="minorHAnsi"/>
                            <w:b/>
                            <w:bCs/>
                            <w:color w:val="000000"/>
                            <w:sz w:val="18"/>
                            <w:szCs w:val="18"/>
                            <w:lang w:val="en-US" w:bidi="en-US"/>
                          </w:rPr>
                          <w:t xml:space="preserve">uary </w:t>
                        </w:r>
                        <w:r w:rsidRPr="00846EEE">
                          <w:rPr>
                            <w:rFonts w:asciiTheme="minorHAnsi" w:hAnsiTheme="minorHAnsi" w:cstheme="minorHAnsi"/>
                            <w:b/>
                            <w:bCs/>
                            <w:color w:val="000000"/>
                            <w:sz w:val="18"/>
                            <w:szCs w:val="18"/>
                            <w:lang w:val="en-US" w:bidi="en-US"/>
                          </w:rPr>
                          <w:t>20</w:t>
                        </w:r>
                        <w:r w:rsidR="0047121F" w:rsidRPr="00846EEE">
                          <w:rPr>
                            <w:rFonts w:asciiTheme="minorHAnsi" w:hAnsiTheme="minorHAnsi" w:cstheme="minorHAnsi"/>
                            <w:b/>
                            <w:bCs/>
                            <w:color w:val="000000"/>
                            <w:sz w:val="18"/>
                            <w:szCs w:val="18"/>
                            <w:lang w:val="en-US" w:bidi="en-US"/>
                          </w:rPr>
                          <w:t>23</w:t>
                        </w:r>
                      </w:p>
                    </w:tc>
                    <w:tc>
                      <w:tcPr>
                        <w:tcW w:w="1541" w:type="dxa"/>
                        <w:tcBorders>
                          <w:top w:val="nil"/>
                          <w:left w:val="nil"/>
                          <w:bottom w:val="nil"/>
                          <w:right w:val="nil"/>
                        </w:tcBorders>
                        <w:vAlign w:val="bottom"/>
                      </w:tcPr>
                      <w:p w14:paraId="51C47DAC" w14:textId="066E1E42" w:rsidR="00781C85" w:rsidRPr="00846EEE" w:rsidRDefault="00781C85" w:rsidP="000D62C9">
                        <w:pPr>
                          <w:spacing w:after="0" w:line="240" w:lineRule="auto"/>
                          <w:jc w:val="right"/>
                          <w:rPr>
                            <w:rFonts w:asciiTheme="minorHAnsi" w:hAnsiTheme="minorHAnsi" w:cstheme="minorHAnsi"/>
                            <w:bCs/>
                            <w:color w:val="000000"/>
                            <w:sz w:val="18"/>
                            <w:szCs w:val="18"/>
                            <w:lang w:val="en-US" w:bidi="en-US"/>
                          </w:rPr>
                        </w:pPr>
                        <w:r w:rsidRPr="00846EEE">
                          <w:rPr>
                            <w:rFonts w:asciiTheme="minorHAnsi" w:hAnsiTheme="minorHAnsi" w:cstheme="minorHAnsi"/>
                            <w:bCs/>
                            <w:color w:val="000000"/>
                            <w:sz w:val="18"/>
                            <w:szCs w:val="18"/>
                            <w:lang w:val="en-US" w:bidi="en-US"/>
                          </w:rPr>
                          <w:t>As at</w:t>
                        </w:r>
                        <w:r w:rsidRPr="00846EEE">
                          <w:rPr>
                            <w:rFonts w:asciiTheme="minorHAnsi" w:hAnsiTheme="minorHAnsi" w:cstheme="minorHAnsi"/>
                            <w:bCs/>
                            <w:color w:val="000000"/>
                            <w:sz w:val="18"/>
                            <w:szCs w:val="18"/>
                            <w:lang w:val="en-US" w:bidi="en-US"/>
                          </w:rPr>
                          <w:br/>
                          <w:t>31 Jan</w:t>
                        </w:r>
                        <w:r w:rsidR="000D62C9">
                          <w:rPr>
                            <w:rFonts w:asciiTheme="minorHAnsi" w:hAnsiTheme="minorHAnsi" w:cstheme="minorHAnsi"/>
                            <w:bCs/>
                            <w:color w:val="000000"/>
                            <w:sz w:val="18"/>
                            <w:szCs w:val="18"/>
                            <w:lang w:val="en-US" w:bidi="en-US"/>
                          </w:rPr>
                          <w:t>uary 2</w:t>
                        </w:r>
                        <w:r w:rsidRPr="00846EEE">
                          <w:rPr>
                            <w:rFonts w:asciiTheme="minorHAnsi" w:hAnsiTheme="minorHAnsi" w:cstheme="minorHAnsi"/>
                            <w:bCs/>
                            <w:color w:val="000000"/>
                            <w:sz w:val="18"/>
                            <w:szCs w:val="18"/>
                            <w:lang w:val="en-US" w:bidi="en-US"/>
                          </w:rPr>
                          <w:t>0</w:t>
                        </w:r>
                        <w:r w:rsidR="0047121F" w:rsidRPr="00846EEE">
                          <w:rPr>
                            <w:rFonts w:asciiTheme="minorHAnsi" w:hAnsiTheme="minorHAnsi" w:cstheme="minorHAnsi"/>
                            <w:bCs/>
                            <w:color w:val="000000"/>
                            <w:sz w:val="18"/>
                            <w:szCs w:val="18"/>
                            <w:lang w:val="en-US" w:bidi="en-US"/>
                          </w:rPr>
                          <w:t>22</w:t>
                        </w:r>
                      </w:p>
                    </w:tc>
                    <w:tc>
                      <w:tcPr>
                        <w:tcW w:w="1542" w:type="dxa"/>
                        <w:tcBorders>
                          <w:top w:val="nil"/>
                          <w:left w:val="nil"/>
                          <w:bottom w:val="nil"/>
                          <w:right w:val="nil"/>
                        </w:tcBorders>
                        <w:shd w:val="clear" w:color="auto" w:fill="auto"/>
                        <w:vAlign w:val="bottom"/>
                      </w:tcPr>
                      <w:p w14:paraId="7A1610F2" w14:textId="77777777" w:rsidR="00781C85" w:rsidRPr="00846EEE" w:rsidRDefault="00781C85" w:rsidP="0047121F">
                        <w:pPr>
                          <w:spacing w:after="0" w:line="240" w:lineRule="auto"/>
                          <w:jc w:val="right"/>
                          <w:rPr>
                            <w:rFonts w:asciiTheme="minorHAnsi" w:hAnsiTheme="minorHAnsi" w:cstheme="minorHAnsi"/>
                            <w:bCs/>
                            <w:color w:val="000000"/>
                            <w:sz w:val="18"/>
                            <w:szCs w:val="18"/>
                            <w:lang w:val="en-US" w:bidi="en-US"/>
                          </w:rPr>
                        </w:pPr>
                        <w:r w:rsidRPr="00846EEE">
                          <w:rPr>
                            <w:rFonts w:asciiTheme="minorHAnsi" w:hAnsiTheme="minorHAnsi" w:cstheme="minorHAnsi"/>
                            <w:bCs/>
                            <w:color w:val="000000"/>
                            <w:sz w:val="18"/>
                            <w:szCs w:val="18"/>
                            <w:lang w:val="en-US" w:bidi="en-US"/>
                          </w:rPr>
                          <w:t xml:space="preserve">As at </w:t>
                        </w:r>
                      </w:p>
                      <w:p w14:paraId="5E6E7475" w14:textId="094146D5" w:rsidR="00781C85" w:rsidRPr="00846EEE" w:rsidRDefault="00781C85" w:rsidP="000D62C9">
                        <w:pPr>
                          <w:spacing w:after="0" w:line="240" w:lineRule="auto"/>
                          <w:jc w:val="right"/>
                          <w:rPr>
                            <w:rFonts w:asciiTheme="minorHAnsi" w:hAnsiTheme="minorHAnsi" w:cstheme="minorHAnsi"/>
                            <w:bCs/>
                            <w:color w:val="000000"/>
                            <w:sz w:val="18"/>
                            <w:szCs w:val="18"/>
                            <w:lang w:val="en-US" w:bidi="en-US"/>
                          </w:rPr>
                        </w:pPr>
                        <w:r w:rsidRPr="00846EEE">
                          <w:rPr>
                            <w:rFonts w:asciiTheme="minorHAnsi" w:hAnsiTheme="minorHAnsi" w:cstheme="minorHAnsi"/>
                            <w:bCs/>
                            <w:color w:val="000000"/>
                            <w:sz w:val="18"/>
                            <w:szCs w:val="18"/>
                            <w:lang w:val="en-US" w:bidi="en-US"/>
                          </w:rPr>
                          <w:t>31 Jul</w:t>
                        </w:r>
                        <w:r w:rsidR="000D62C9">
                          <w:rPr>
                            <w:rFonts w:asciiTheme="minorHAnsi" w:hAnsiTheme="minorHAnsi" w:cstheme="minorHAnsi"/>
                            <w:bCs/>
                            <w:color w:val="000000"/>
                            <w:sz w:val="18"/>
                            <w:szCs w:val="18"/>
                            <w:lang w:val="en-US" w:bidi="en-US"/>
                          </w:rPr>
                          <w:t>y</w:t>
                        </w:r>
                        <w:r w:rsidRPr="00846EEE">
                          <w:rPr>
                            <w:rFonts w:asciiTheme="minorHAnsi" w:hAnsiTheme="minorHAnsi" w:cstheme="minorHAnsi"/>
                            <w:bCs/>
                            <w:color w:val="000000"/>
                            <w:sz w:val="18"/>
                            <w:szCs w:val="18"/>
                            <w:lang w:val="en-US" w:bidi="en-US"/>
                          </w:rPr>
                          <w:t xml:space="preserve"> 20</w:t>
                        </w:r>
                        <w:r w:rsidR="0047121F" w:rsidRPr="00846EEE">
                          <w:rPr>
                            <w:rFonts w:asciiTheme="minorHAnsi" w:hAnsiTheme="minorHAnsi" w:cstheme="minorHAnsi"/>
                            <w:bCs/>
                            <w:color w:val="000000"/>
                            <w:sz w:val="18"/>
                            <w:szCs w:val="18"/>
                            <w:lang w:val="en-US" w:bidi="en-US"/>
                          </w:rPr>
                          <w:t>22</w:t>
                        </w:r>
                      </w:p>
                    </w:tc>
                  </w:tr>
                  <w:tr w:rsidR="000D62C9" w:rsidRPr="00551D5A" w14:paraId="69542871" w14:textId="77777777" w:rsidTr="00997EF7">
                    <w:tc>
                      <w:tcPr>
                        <w:tcW w:w="4857" w:type="dxa"/>
                        <w:tcBorders>
                          <w:top w:val="nil"/>
                          <w:bottom w:val="single" w:sz="4" w:space="0" w:color="auto"/>
                        </w:tcBorders>
                        <w:shd w:val="clear" w:color="auto" w:fill="auto"/>
                      </w:tcPr>
                      <w:p w14:paraId="6A67F50A" w14:textId="77777777" w:rsidR="000D62C9" w:rsidRPr="00846EEE" w:rsidRDefault="000D62C9" w:rsidP="000D62C9">
                        <w:pPr>
                          <w:spacing w:after="0" w:line="240" w:lineRule="auto"/>
                          <w:rPr>
                            <w:rFonts w:asciiTheme="minorHAnsi" w:hAnsiTheme="minorHAnsi" w:cstheme="minorHAnsi"/>
                            <w:b/>
                            <w:color w:val="000000"/>
                            <w:sz w:val="18"/>
                            <w:szCs w:val="18"/>
                            <w:lang w:val="en-US" w:bidi="en-US"/>
                          </w:rPr>
                        </w:pPr>
                      </w:p>
                    </w:tc>
                    <w:tc>
                      <w:tcPr>
                        <w:tcW w:w="1541" w:type="dxa"/>
                        <w:tcBorders>
                          <w:top w:val="nil"/>
                          <w:bottom w:val="single" w:sz="4" w:space="0" w:color="auto"/>
                        </w:tcBorders>
                        <w:shd w:val="clear" w:color="auto" w:fill="auto"/>
                        <w:vAlign w:val="center"/>
                      </w:tcPr>
                      <w:p w14:paraId="3130724D" w14:textId="75428312" w:rsidR="000D62C9" w:rsidRPr="00846EEE" w:rsidRDefault="000D62C9" w:rsidP="000D62C9">
                        <w:pPr>
                          <w:spacing w:after="0" w:line="240" w:lineRule="auto"/>
                          <w:jc w:val="right"/>
                          <w:rPr>
                            <w:rStyle w:val="SubtleEmphasis"/>
                            <w:rFonts w:asciiTheme="minorHAnsi" w:hAnsiTheme="minorHAnsi" w:cstheme="minorHAnsi"/>
                            <w:b/>
                            <w:i w:val="0"/>
                            <w:color w:val="000000"/>
                            <w:sz w:val="18"/>
                            <w:szCs w:val="18"/>
                            <w:lang w:bidi="en-US"/>
                          </w:rPr>
                        </w:pPr>
                        <w:r w:rsidRPr="00846EEE">
                          <w:rPr>
                            <w:rFonts w:asciiTheme="minorHAnsi" w:hAnsiTheme="minorHAnsi" w:cstheme="minorHAnsi"/>
                            <w:b/>
                            <w:bCs/>
                            <w:sz w:val="18"/>
                            <w:szCs w:val="18"/>
                          </w:rPr>
                          <w:t>£’000</w:t>
                        </w:r>
                      </w:p>
                    </w:tc>
                    <w:tc>
                      <w:tcPr>
                        <w:tcW w:w="1541" w:type="dxa"/>
                        <w:tcBorders>
                          <w:top w:val="nil"/>
                          <w:bottom w:val="single" w:sz="4" w:space="0" w:color="auto"/>
                        </w:tcBorders>
                        <w:vAlign w:val="center"/>
                      </w:tcPr>
                      <w:p w14:paraId="2A9DBC81" w14:textId="13AB52E3" w:rsidR="000D62C9" w:rsidRPr="00846EEE" w:rsidRDefault="000D62C9" w:rsidP="000D62C9">
                        <w:pPr>
                          <w:spacing w:after="0" w:line="240" w:lineRule="auto"/>
                          <w:jc w:val="right"/>
                          <w:rPr>
                            <w:rFonts w:asciiTheme="minorHAnsi" w:hAnsiTheme="minorHAnsi" w:cstheme="minorHAnsi"/>
                            <w:color w:val="000000"/>
                            <w:sz w:val="18"/>
                            <w:szCs w:val="18"/>
                            <w:lang w:val="en-US" w:bidi="en-US"/>
                          </w:rPr>
                        </w:pPr>
                        <w:r w:rsidRPr="00002756">
                          <w:rPr>
                            <w:rFonts w:asciiTheme="minorHAnsi" w:hAnsiTheme="minorHAnsi" w:cstheme="minorHAnsi"/>
                            <w:sz w:val="18"/>
                            <w:szCs w:val="18"/>
                          </w:rPr>
                          <w:t>£’000</w:t>
                        </w:r>
                      </w:p>
                    </w:tc>
                    <w:tc>
                      <w:tcPr>
                        <w:tcW w:w="1542" w:type="dxa"/>
                        <w:tcBorders>
                          <w:top w:val="nil"/>
                          <w:bottom w:val="single" w:sz="4" w:space="0" w:color="auto"/>
                        </w:tcBorders>
                        <w:shd w:val="clear" w:color="auto" w:fill="auto"/>
                        <w:vAlign w:val="center"/>
                      </w:tcPr>
                      <w:p w14:paraId="0055741D" w14:textId="2E977FFE" w:rsidR="000D62C9" w:rsidRPr="00846EEE" w:rsidRDefault="000D62C9" w:rsidP="000D62C9">
                        <w:pPr>
                          <w:spacing w:after="0" w:line="240" w:lineRule="auto"/>
                          <w:jc w:val="right"/>
                          <w:rPr>
                            <w:rFonts w:asciiTheme="minorHAnsi" w:hAnsiTheme="minorHAnsi" w:cstheme="minorHAnsi"/>
                            <w:color w:val="000000"/>
                            <w:sz w:val="18"/>
                            <w:szCs w:val="18"/>
                            <w:lang w:val="en-US" w:bidi="en-US"/>
                          </w:rPr>
                        </w:pPr>
                        <w:r w:rsidRPr="00002756">
                          <w:rPr>
                            <w:rFonts w:asciiTheme="minorHAnsi" w:hAnsiTheme="minorHAnsi" w:cstheme="minorHAnsi"/>
                            <w:sz w:val="18"/>
                            <w:szCs w:val="18"/>
                          </w:rPr>
                          <w:t>£’000</w:t>
                        </w:r>
                      </w:p>
                    </w:tc>
                  </w:tr>
                  <w:tr w:rsidR="00781C85" w:rsidRPr="00551D5A" w14:paraId="7564AAEF" w14:textId="77777777" w:rsidTr="00997EF7">
                    <w:tc>
                      <w:tcPr>
                        <w:tcW w:w="4857" w:type="dxa"/>
                        <w:tcBorders>
                          <w:top w:val="single" w:sz="4" w:space="0" w:color="auto"/>
                          <w:bottom w:val="single" w:sz="4" w:space="0" w:color="auto"/>
                        </w:tcBorders>
                        <w:shd w:val="clear" w:color="auto" w:fill="auto"/>
                      </w:tcPr>
                      <w:p w14:paraId="37796832" w14:textId="77777777" w:rsidR="00781C85" w:rsidRPr="00846EEE" w:rsidRDefault="00781C85" w:rsidP="00997EF7">
                        <w:pPr>
                          <w:spacing w:after="0" w:line="240" w:lineRule="auto"/>
                          <w:ind w:hanging="68"/>
                          <w:rPr>
                            <w:rFonts w:asciiTheme="minorHAnsi" w:hAnsiTheme="minorHAnsi" w:cstheme="minorHAnsi"/>
                            <w:b/>
                            <w:color w:val="000000"/>
                            <w:sz w:val="18"/>
                            <w:szCs w:val="18"/>
                            <w:lang w:val="en-US" w:bidi="en-US"/>
                          </w:rPr>
                        </w:pPr>
                        <w:r w:rsidRPr="00846EEE">
                          <w:rPr>
                            <w:rFonts w:asciiTheme="minorHAnsi" w:hAnsiTheme="minorHAnsi" w:cstheme="minorHAnsi"/>
                            <w:b/>
                            <w:color w:val="000000"/>
                            <w:sz w:val="18"/>
                            <w:szCs w:val="18"/>
                            <w:lang w:val="en-US" w:bidi="en-US"/>
                          </w:rPr>
                          <w:t xml:space="preserve">Current </w:t>
                        </w:r>
                      </w:p>
                    </w:tc>
                    <w:tc>
                      <w:tcPr>
                        <w:tcW w:w="1541" w:type="dxa"/>
                        <w:tcBorders>
                          <w:top w:val="single" w:sz="4" w:space="0" w:color="auto"/>
                          <w:bottom w:val="single" w:sz="4" w:space="0" w:color="auto"/>
                        </w:tcBorders>
                        <w:shd w:val="clear" w:color="auto" w:fill="auto"/>
                      </w:tcPr>
                      <w:p w14:paraId="479F289F" w14:textId="77777777" w:rsidR="00781C85" w:rsidRPr="00846EEE" w:rsidRDefault="00781C85" w:rsidP="0047121F">
                        <w:pPr>
                          <w:spacing w:after="0" w:line="240" w:lineRule="auto"/>
                          <w:jc w:val="right"/>
                          <w:rPr>
                            <w:rStyle w:val="SubtleEmphasis"/>
                            <w:rFonts w:asciiTheme="minorHAnsi" w:hAnsiTheme="minorHAnsi" w:cstheme="minorHAnsi"/>
                            <w:b/>
                            <w:i w:val="0"/>
                            <w:color w:val="000000"/>
                            <w:sz w:val="18"/>
                            <w:szCs w:val="18"/>
                            <w:lang w:bidi="en-US"/>
                          </w:rPr>
                        </w:pPr>
                      </w:p>
                    </w:tc>
                    <w:tc>
                      <w:tcPr>
                        <w:tcW w:w="1541" w:type="dxa"/>
                        <w:tcBorders>
                          <w:top w:val="single" w:sz="4" w:space="0" w:color="auto"/>
                          <w:bottom w:val="single" w:sz="4" w:space="0" w:color="auto"/>
                        </w:tcBorders>
                      </w:tcPr>
                      <w:p w14:paraId="3FE6292A" w14:textId="77777777" w:rsidR="00781C85" w:rsidRPr="00846EEE" w:rsidRDefault="00781C85" w:rsidP="0047121F">
                        <w:pPr>
                          <w:spacing w:after="0" w:line="240" w:lineRule="auto"/>
                          <w:jc w:val="right"/>
                          <w:rPr>
                            <w:rFonts w:asciiTheme="minorHAnsi" w:hAnsiTheme="minorHAnsi" w:cstheme="minorHAnsi"/>
                            <w:color w:val="000000"/>
                            <w:sz w:val="18"/>
                            <w:szCs w:val="18"/>
                            <w:lang w:val="en-US" w:bidi="en-US"/>
                          </w:rPr>
                        </w:pPr>
                      </w:p>
                    </w:tc>
                    <w:tc>
                      <w:tcPr>
                        <w:tcW w:w="1542" w:type="dxa"/>
                        <w:tcBorders>
                          <w:top w:val="single" w:sz="4" w:space="0" w:color="auto"/>
                          <w:bottom w:val="single" w:sz="4" w:space="0" w:color="auto"/>
                        </w:tcBorders>
                        <w:shd w:val="clear" w:color="auto" w:fill="auto"/>
                      </w:tcPr>
                      <w:p w14:paraId="7BC5FC15" w14:textId="77777777" w:rsidR="00781C85" w:rsidRPr="00846EEE" w:rsidRDefault="00781C85" w:rsidP="0047121F">
                        <w:pPr>
                          <w:spacing w:after="0" w:line="240" w:lineRule="auto"/>
                          <w:jc w:val="right"/>
                          <w:rPr>
                            <w:rFonts w:asciiTheme="minorHAnsi" w:hAnsiTheme="minorHAnsi" w:cstheme="minorHAnsi"/>
                            <w:color w:val="000000"/>
                            <w:sz w:val="18"/>
                            <w:szCs w:val="18"/>
                            <w:lang w:val="en-US" w:bidi="en-US"/>
                          </w:rPr>
                        </w:pPr>
                      </w:p>
                    </w:tc>
                  </w:tr>
                  <w:tr w:rsidR="006F0BD3" w:rsidRPr="00551D5A" w14:paraId="4ECE7E1C" w14:textId="77777777" w:rsidTr="00997EF7">
                    <w:trPr>
                      <w:trHeight w:val="521"/>
                    </w:trPr>
                    <w:tc>
                      <w:tcPr>
                        <w:tcW w:w="4857" w:type="dxa"/>
                        <w:tcBorders>
                          <w:top w:val="single" w:sz="4" w:space="0" w:color="auto"/>
                          <w:bottom w:val="single" w:sz="4" w:space="0" w:color="auto"/>
                        </w:tcBorders>
                        <w:shd w:val="clear" w:color="auto" w:fill="auto"/>
                      </w:tcPr>
                      <w:p w14:paraId="5B0A407A" w14:textId="5097DC87" w:rsidR="001C549A" w:rsidRDefault="001C549A" w:rsidP="000D62C9">
                        <w:pPr>
                          <w:spacing w:after="0" w:line="240" w:lineRule="auto"/>
                          <w:ind w:hanging="68"/>
                          <w:rPr>
                            <w:rFonts w:asciiTheme="minorHAnsi" w:hAnsiTheme="minorHAnsi" w:cstheme="minorHAnsi"/>
                            <w:color w:val="000000"/>
                            <w:sz w:val="18"/>
                            <w:szCs w:val="18"/>
                            <w:lang w:val="en-US" w:bidi="en-US"/>
                          </w:rPr>
                        </w:pPr>
                        <w:r>
                          <w:rPr>
                            <w:rFonts w:asciiTheme="minorHAnsi" w:hAnsiTheme="minorHAnsi" w:cstheme="minorHAnsi"/>
                            <w:color w:val="000000"/>
                            <w:sz w:val="18"/>
                            <w:szCs w:val="18"/>
                            <w:lang w:val="en-US" w:bidi="en-US"/>
                          </w:rPr>
                          <w:t>Bank overdrafts</w:t>
                        </w:r>
                      </w:p>
                      <w:p w14:paraId="31FE9606" w14:textId="480AA289" w:rsidR="006F0BD3" w:rsidRPr="00846EEE" w:rsidRDefault="006F0BD3" w:rsidP="00997EF7">
                        <w:pPr>
                          <w:spacing w:after="0" w:line="240" w:lineRule="auto"/>
                          <w:ind w:hanging="68"/>
                          <w:rPr>
                            <w:rFonts w:asciiTheme="minorHAnsi" w:hAnsiTheme="minorHAnsi" w:cstheme="minorHAnsi"/>
                            <w:color w:val="000000"/>
                            <w:sz w:val="18"/>
                            <w:szCs w:val="18"/>
                            <w:lang w:val="en-US" w:bidi="en-US"/>
                          </w:rPr>
                        </w:pPr>
                        <w:r w:rsidRPr="00846EEE">
                          <w:rPr>
                            <w:rFonts w:asciiTheme="minorHAnsi" w:hAnsiTheme="minorHAnsi" w:cstheme="minorHAnsi"/>
                            <w:color w:val="000000"/>
                            <w:sz w:val="18"/>
                            <w:szCs w:val="18"/>
                            <w:lang w:val="en-US" w:bidi="en-US"/>
                          </w:rPr>
                          <w:t>Invoice discounting</w:t>
                        </w:r>
                      </w:p>
                      <w:p w14:paraId="0ECE401F" w14:textId="77777777" w:rsidR="006F0BD3" w:rsidRPr="00846EEE" w:rsidRDefault="006F0BD3" w:rsidP="00997EF7">
                        <w:pPr>
                          <w:spacing w:after="0" w:line="240" w:lineRule="auto"/>
                          <w:ind w:hanging="68"/>
                          <w:rPr>
                            <w:rFonts w:asciiTheme="minorHAnsi" w:hAnsiTheme="minorHAnsi" w:cstheme="minorHAnsi"/>
                            <w:color w:val="000000"/>
                            <w:sz w:val="18"/>
                            <w:szCs w:val="18"/>
                            <w:lang w:val="en-US" w:bidi="en-US"/>
                          </w:rPr>
                        </w:pPr>
                        <w:r w:rsidRPr="00846EEE">
                          <w:rPr>
                            <w:rFonts w:asciiTheme="minorHAnsi" w:hAnsiTheme="minorHAnsi" w:cstheme="minorHAnsi"/>
                            <w:color w:val="000000"/>
                            <w:sz w:val="18"/>
                            <w:szCs w:val="18"/>
                            <w:lang w:val="en-US" w:bidi="en-US"/>
                          </w:rPr>
                          <w:t xml:space="preserve">Import </w:t>
                        </w:r>
                        <w:proofErr w:type="gramStart"/>
                        <w:r w:rsidRPr="00846EEE">
                          <w:rPr>
                            <w:rFonts w:asciiTheme="minorHAnsi" w:hAnsiTheme="minorHAnsi" w:cstheme="minorHAnsi"/>
                            <w:color w:val="000000"/>
                            <w:sz w:val="18"/>
                            <w:szCs w:val="18"/>
                            <w:lang w:val="en-US" w:bidi="en-US"/>
                          </w:rPr>
                          <w:t>loans</w:t>
                        </w:r>
                        <w:proofErr w:type="gramEnd"/>
                      </w:p>
                      <w:p w14:paraId="197E93DF" w14:textId="77777777" w:rsidR="006F0BD3" w:rsidRPr="00846EEE" w:rsidRDefault="006F0BD3" w:rsidP="00997EF7">
                        <w:pPr>
                          <w:spacing w:after="0" w:line="240" w:lineRule="auto"/>
                          <w:ind w:hanging="68"/>
                          <w:rPr>
                            <w:rFonts w:asciiTheme="minorHAnsi" w:hAnsiTheme="minorHAnsi" w:cstheme="minorHAnsi"/>
                            <w:color w:val="000000"/>
                            <w:sz w:val="18"/>
                            <w:szCs w:val="18"/>
                            <w:lang w:val="en-US" w:bidi="en-US"/>
                          </w:rPr>
                        </w:pPr>
                        <w:r w:rsidRPr="00846EEE">
                          <w:rPr>
                            <w:rFonts w:asciiTheme="minorHAnsi" w:hAnsiTheme="minorHAnsi" w:cstheme="minorHAnsi"/>
                            <w:color w:val="000000"/>
                            <w:sz w:val="18"/>
                            <w:szCs w:val="18"/>
                            <w:lang w:val="en-US" w:bidi="en-US"/>
                          </w:rPr>
                          <w:t>Term loan</w:t>
                        </w:r>
                      </w:p>
                    </w:tc>
                    <w:tc>
                      <w:tcPr>
                        <w:tcW w:w="1541" w:type="dxa"/>
                        <w:tcBorders>
                          <w:top w:val="single" w:sz="4" w:space="0" w:color="auto"/>
                          <w:bottom w:val="single" w:sz="4" w:space="0" w:color="auto"/>
                        </w:tcBorders>
                        <w:shd w:val="clear" w:color="auto" w:fill="auto"/>
                      </w:tcPr>
                      <w:p w14:paraId="6351D271" w14:textId="78B6CA6E" w:rsidR="001C549A" w:rsidRDefault="001C549A" w:rsidP="006F0BD3">
                        <w:pPr>
                          <w:spacing w:after="0" w:line="240" w:lineRule="auto"/>
                          <w:jc w:val="right"/>
                          <w:rPr>
                            <w:rStyle w:val="SubtleEmphasis"/>
                            <w:rFonts w:asciiTheme="minorHAnsi" w:hAnsiTheme="minorHAnsi" w:cstheme="minorHAnsi"/>
                            <w:b/>
                            <w:i w:val="0"/>
                            <w:color w:val="000000"/>
                            <w:sz w:val="18"/>
                            <w:szCs w:val="18"/>
                            <w:lang w:bidi="en-US"/>
                          </w:rPr>
                        </w:pPr>
                        <w:r>
                          <w:rPr>
                            <w:rStyle w:val="SubtleEmphasis"/>
                            <w:rFonts w:asciiTheme="minorHAnsi" w:hAnsiTheme="minorHAnsi" w:cstheme="minorHAnsi"/>
                            <w:b/>
                            <w:i w:val="0"/>
                            <w:color w:val="000000"/>
                            <w:sz w:val="18"/>
                            <w:szCs w:val="18"/>
                            <w:lang w:bidi="en-US"/>
                          </w:rPr>
                          <w:t>597</w:t>
                        </w:r>
                      </w:p>
                      <w:p w14:paraId="6B1E24EA" w14:textId="5012263D" w:rsidR="006F0BD3" w:rsidRDefault="001C549A" w:rsidP="006F0BD3">
                        <w:pPr>
                          <w:spacing w:after="0" w:line="240" w:lineRule="auto"/>
                          <w:jc w:val="right"/>
                          <w:rPr>
                            <w:rStyle w:val="SubtleEmphasis"/>
                            <w:rFonts w:asciiTheme="minorHAnsi" w:hAnsiTheme="minorHAnsi" w:cstheme="minorHAnsi"/>
                            <w:b/>
                            <w:i w:val="0"/>
                            <w:color w:val="000000"/>
                            <w:sz w:val="18"/>
                            <w:szCs w:val="18"/>
                            <w:lang w:bidi="en-US"/>
                          </w:rPr>
                        </w:pPr>
                        <w:r>
                          <w:rPr>
                            <w:rStyle w:val="SubtleEmphasis"/>
                            <w:rFonts w:asciiTheme="minorHAnsi" w:hAnsiTheme="minorHAnsi" w:cstheme="minorHAnsi"/>
                            <w:b/>
                            <w:i w:val="0"/>
                            <w:color w:val="000000"/>
                            <w:sz w:val="18"/>
                            <w:szCs w:val="18"/>
                            <w:lang w:bidi="en-US"/>
                          </w:rPr>
                          <w:t>3,465</w:t>
                        </w:r>
                      </w:p>
                      <w:p w14:paraId="3EF3626E" w14:textId="77777777" w:rsidR="001C549A" w:rsidRDefault="001C549A" w:rsidP="006F0BD3">
                        <w:pPr>
                          <w:spacing w:after="0" w:line="240" w:lineRule="auto"/>
                          <w:jc w:val="right"/>
                          <w:rPr>
                            <w:rStyle w:val="SubtleEmphasis"/>
                            <w:rFonts w:asciiTheme="minorHAnsi" w:hAnsiTheme="minorHAnsi" w:cstheme="minorHAnsi"/>
                            <w:b/>
                            <w:i w:val="0"/>
                            <w:color w:val="000000"/>
                            <w:sz w:val="18"/>
                            <w:szCs w:val="18"/>
                            <w:lang w:bidi="en-US"/>
                          </w:rPr>
                        </w:pPr>
                        <w:r>
                          <w:rPr>
                            <w:rStyle w:val="SubtleEmphasis"/>
                            <w:rFonts w:asciiTheme="minorHAnsi" w:hAnsiTheme="minorHAnsi" w:cstheme="minorHAnsi"/>
                            <w:b/>
                            <w:i w:val="0"/>
                            <w:color w:val="000000"/>
                            <w:sz w:val="18"/>
                            <w:szCs w:val="18"/>
                            <w:lang w:bidi="en-US"/>
                          </w:rPr>
                          <w:t>6,970</w:t>
                        </w:r>
                      </w:p>
                      <w:p w14:paraId="2660821D" w14:textId="13852F57" w:rsidR="001C549A" w:rsidRPr="00846EEE" w:rsidRDefault="001C549A" w:rsidP="006F0BD3">
                        <w:pPr>
                          <w:spacing w:after="0" w:line="240" w:lineRule="auto"/>
                          <w:jc w:val="right"/>
                          <w:rPr>
                            <w:rStyle w:val="SubtleEmphasis"/>
                            <w:rFonts w:asciiTheme="minorHAnsi" w:hAnsiTheme="minorHAnsi" w:cstheme="minorHAnsi"/>
                            <w:b/>
                            <w:i w:val="0"/>
                            <w:color w:val="000000"/>
                            <w:sz w:val="18"/>
                            <w:szCs w:val="18"/>
                            <w:lang w:bidi="en-US"/>
                          </w:rPr>
                        </w:pPr>
                        <w:r>
                          <w:rPr>
                            <w:rStyle w:val="SubtleEmphasis"/>
                            <w:rFonts w:asciiTheme="minorHAnsi" w:hAnsiTheme="minorHAnsi" w:cstheme="minorHAnsi"/>
                            <w:b/>
                            <w:i w:val="0"/>
                            <w:color w:val="000000"/>
                            <w:sz w:val="18"/>
                            <w:szCs w:val="18"/>
                            <w:lang w:bidi="en-US"/>
                          </w:rPr>
                          <w:t>2,000</w:t>
                        </w:r>
                      </w:p>
                    </w:tc>
                    <w:tc>
                      <w:tcPr>
                        <w:tcW w:w="1541" w:type="dxa"/>
                        <w:tcBorders>
                          <w:top w:val="single" w:sz="4" w:space="0" w:color="auto"/>
                          <w:bottom w:val="single" w:sz="4" w:space="0" w:color="auto"/>
                        </w:tcBorders>
                      </w:tcPr>
                      <w:p w14:paraId="242DC279" w14:textId="07132FA2" w:rsidR="001C549A" w:rsidRDefault="001C549A" w:rsidP="006F0BD3">
                        <w:pPr>
                          <w:spacing w:after="0" w:line="240" w:lineRule="auto"/>
                          <w:jc w:val="right"/>
                          <w:rPr>
                            <w:rStyle w:val="SubtleEmphasis"/>
                            <w:rFonts w:asciiTheme="minorHAnsi" w:hAnsiTheme="minorHAnsi" w:cstheme="minorHAnsi"/>
                            <w:bCs/>
                            <w:i w:val="0"/>
                            <w:color w:val="000000"/>
                            <w:sz w:val="18"/>
                            <w:szCs w:val="18"/>
                            <w:lang w:bidi="en-US"/>
                          </w:rPr>
                        </w:pPr>
                        <w:r>
                          <w:rPr>
                            <w:rStyle w:val="SubtleEmphasis"/>
                            <w:rFonts w:asciiTheme="minorHAnsi" w:hAnsiTheme="minorHAnsi" w:cstheme="minorHAnsi"/>
                            <w:bCs/>
                            <w:i w:val="0"/>
                            <w:color w:val="000000"/>
                            <w:sz w:val="18"/>
                            <w:szCs w:val="18"/>
                            <w:lang w:bidi="en-US"/>
                          </w:rPr>
                          <w:t>-</w:t>
                        </w:r>
                      </w:p>
                      <w:p w14:paraId="54890739" w14:textId="0B324FD8" w:rsidR="006F0BD3" w:rsidRPr="00846EEE" w:rsidRDefault="006F0BD3" w:rsidP="006F0BD3">
                        <w:pPr>
                          <w:spacing w:after="0" w:line="240" w:lineRule="auto"/>
                          <w:jc w:val="right"/>
                          <w:rPr>
                            <w:rStyle w:val="SubtleEmphasis"/>
                            <w:rFonts w:asciiTheme="minorHAnsi" w:hAnsiTheme="minorHAnsi" w:cstheme="minorHAnsi"/>
                            <w:bCs/>
                            <w:i w:val="0"/>
                            <w:color w:val="000000"/>
                            <w:sz w:val="18"/>
                            <w:szCs w:val="18"/>
                            <w:lang w:bidi="en-US"/>
                          </w:rPr>
                        </w:pPr>
                        <w:r w:rsidRPr="00846EEE">
                          <w:rPr>
                            <w:rStyle w:val="SubtleEmphasis"/>
                            <w:rFonts w:asciiTheme="minorHAnsi" w:hAnsiTheme="minorHAnsi" w:cstheme="minorHAnsi"/>
                            <w:bCs/>
                            <w:i w:val="0"/>
                            <w:color w:val="000000"/>
                            <w:sz w:val="18"/>
                            <w:szCs w:val="18"/>
                            <w:lang w:bidi="en-US"/>
                          </w:rPr>
                          <w:t>11,053</w:t>
                        </w:r>
                      </w:p>
                      <w:p w14:paraId="27E703B4" w14:textId="77777777" w:rsidR="006F0BD3" w:rsidRPr="00846EEE" w:rsidRDefault="006F0BD3" w:rsidP="006F0BD3">
                        <w:pPr>
                          <w:spacing w:after="0" w:line="240" w:lineRule="auto"/>
                          <w:jc w:val="right"/>
                          <w:rPr>
                            <w:rStyle w:val="SubtleEmphasis"/>
                            <w:rFonts w:asciiTheme="minorHAnsi" w:hAnsiTheme="minorHAnsi" w:cstheme="minorHAnsi"/>
                            <w:bCs/>
                            <w:i w:val="0"/>
                            <w:color w:val="000000"/>
                            <w:sz w:val="18"/>
                            <w:szCs w:val="18"/>
                            <w:lang w:bidi="en-US"/>
                          </w:rPr>
                        </w:pPr>
                        <w:r w:rsidRPr="00846EEE">
                          <w:rPr>
                            <w:rStyle w:val="SubtleEmphasis"/>
                            <w:rFonts w:asciiTheme="minorHAnsi" w:hAnsiTheme="minorHAnsi" w:cstheme="minorHAnsi"/>
                            <w:bCs/>
                            <w:i w:val="0"/>
                            <w:color w:val="000000"/>
                            <w:sz w:val="18"/>
                            <w:szCs w:val="18"/>
                            <w:lang w:bidi="en-US"/>
                          </w:rPr>
                          <w:t>7,128</w:t>
                        </w:r>
                      </w:p>
                      <w:p w14:paraId="297C228E" w14:textId="5B5449E3" w:rsidR="006F0BD3" w:rsidRPr="00846EEE" w:rsidRDefault="006F0BD3" w:rsidP="006F0BD3">
                        <w:pPr>
                          <w:spacing w:after="0" w:line="240" w:lineRule="auto"/>
                          <w:jc w:val="right"/>
                          <w:rPr>
                            <w:rStyle w:val="SubtleEmphasis"/>
                            <w:rFonts w:asciiTheme="minorHAnsi" w:hAnsiTheme="minorHAnsi" w:cstheme="minorHAnsi"/>
                            <w:bCs/>
                            <w:i w:val="0"/>
                            <w:color w:val="000000"/>
                            <w:sz w:val="18"/>
                            <w:szCs w:val="18"/>
                            <w:lang w:bidi="en-US"/>
                          </w:rPr>
                        </w:pPr>
                        <w:r w:rsidRPr="00846EEE">
                          <w:rPr>
                            <w:rStyle w:val="SubtleEmphasis"/>
                            <w:rFonts w:asciiTheme="minorHAnsi" w:hAnsiTheme="minorHAnsi" w:cstheme="minorHAnsi"/>
                            <w:bCs/>
                            <w:i w:val="0"/>
                            <w:color w:val="000000"/>
                            <w:sz w:val="18"/>
                            <w:szCs w:val="18"/>
                            <w:lang w:bidi="en-US"/>
                          </w:rPr>
                          <w:t>2,000</w:t>
                        </w:r>
                      </w:p>
                    </w:tc>
                    <w:tc>
                      <w:tcPr>
                        <w:tcW w:w="1542" w:type="dxa"/>
                        <w:tcBorders>
                          <w:top w:val="single" w:sz="4" w:space="0" w:color="auto"/>
                          <w:bottom w:val="single" w:sz="4" w:space="0" w:color="auto"/>
                        </w:tcBorders>
                        <w:shd w:val="clear" w:color="auto" w:fill="auto"/>
                      </w:tcPr>
                      <w:p w14:paraId="182CED11" w14:textId="77777777" w:rsidR="006F0BD3" w:rsidRDefault="00E036AA" w:rsidP="006F0BD3">
                        <w:pPr>
                          <w:spacing w:after="0" w:line="240" w:lineRule="auto"/>
                          <w:jc w:val="right"/>
                          <w:rPr>
                            <w:rStyle w:val="SubtleEmphasis"/>
                            <w:rFonts w:asciiTheme="minorHAnsi" w:hAnsiTheme="minorHAnsi" w:cstheme="minorHAnsi"/>
                            <w:i w:val="0"/>
                            <w:color w:val="000000"/>
                            <w:sz w:val="18"/>
                            <w:szCs w:val="18"/>
                            <w:lang w:bidi="en-US"/>
                          </w:rPr>
                        </w:pPr>
                        <w:r>
                          <w:rPr>
                            <w:rStyle w:val="SubtleEmphasis"/>
                            <w:rFonts w:asciiTheme="minorHAnsi" w:hAnsiTheme="minorHAnsi" w:cstheme="minorHAnsi"/>
                            <w:i w:val="0"/>
                            <w:color w:val="000000"/>
                            <w:sz w:val="18"/>
                            <w:szCs w:val="18"/>
                            <w:lang w:bidi="en-US"/>
                          </w:rPr>
                          <w:t>6,020</w:t>
                        </w:r>
                      </w:p>
                      <w:p w14:paraId="5117B31F" w14:textId="77777777" w:rsidR="00E036AA" w:rsidRDefault="00E036AA" w:rsidP="006F0BD3">
                        <w:pPr>
                          <w:spacing w:after="0" w:line="240" w:lineRule="auto"/>
                          <w:jc w:val="right"/>
                          <w:rPr>
                            <w:rStyle w:val="SubtleEmphasis"/>
                            <w:rFonts w:asciiTheme="minorHAnsi" w:hAnsiTheme="minorHAnsi" w:cstheme="minorHAnsi"/>
                            <w:i w:val="0"/>
                            <w:color w:val="000000"/>
                            <w:sz w:val="18"/>
                            <w:szCs w:val="18"/>
                            <w:lang w:bidi="en-US"/>
                          </w:rPr>
                        </w:pPr>
                        <w:r>
                          <w:rPr>
                            <w:rStyle w:val="SubtleEmphasis"/>
                            <w:rFonts w:asciiTheme="minorHAnsi" w:hAnsiTheme="minorHAnsi" w:cstheme="minorHAnsi"/>
                            <w:i w:val="0"/>
                            <w:color w:val="000000"/>
                            <w:sz w:val="18"/>
                            <w:szCs w:val="18"/>
                            <w:lang w:bidi="en-US"/>
                          </w:rPr>
                          <w:t>6,197</w:t>
                        </w:r>
                      </w:p>
                      <w:p w14:paraId="774C4F60" w14:textId="77777777" w:rsidR="00E036AA" w:rsidRDefault="00E036AA" w:rsidP="006F0BD3">
                        <w:pPr>
                          <w:spacing w:after="0" w:line="240" w:lineRule="auto"/>
                          <w:jc w:val="right"/>
                          <w:rPr>
                            <w:rStyle w:val="SubtleEmphasis"/>
                            <w:rFonts w:asciiTheme="minorHAnsi" w:hAnsiTheme="minorHAnsi" w:cstheme="minorHAnsi"/>
                            <w:i w:val="0"/>
                            <w:color w:val="000000"/>
                            <w:sz w:val="18"/>
                            <w:szCs w:val="18"/>
                            <w:lang w:bidi="en-US"/>
                          </w:rPr>
                        </w:pPr>
                        <w:r>
                          <w:rPr>
                            <w:rStyle w:val="SubtleEmphasis"/>
                            <w:rFonts w:asciiTheme="minorHAnsi" w:hAnsiTheme="minorHAnsi" w:cstheme="minorHAnsi"/>
                            <w:i w:val="0"/>
                            <w:color w:val="000000"/>
                            <w:sz w:val="18"/>
                            <w:szCs w:val="18"/>
                            <w:lang w:bidi="en-US"/>
                          </w:rPr>
                          <w:t>8,179</w:t>
                        </w:r>
                      </w:p>
                      <w:p w14:paraId="2C1578F8" w14:textId="2FF70477" w:rsidR="00E036AA" w:rsidRPr="00846EEE" w:rsidRDefault="00E036AA" w:rsidP="006F0BD3">
                        <w:pPr>
                          <w:spacing w:after="0" w:line="240" w:lineRule="auto"/>
                          <w:jc w:val="right"/>
                          <w:rPr>
                            <w:rStyle w:val="SubtleEmphasis"/>
                            <w:rFonts w:asciiTheme="minorHAnsi" w:hAnsiTheme="minorHAnsi" w:cstheme="minorHAnsi"/>
                            <w:i w:val="0"/>
                            <w:color w:val="000000"/>
                            <w:sz w:val="18"/>
                            <w:szCs w:val="18"/>
                            <w:lang w:bidi="en-US"/>
                          </w:rPr>
                        </w:pPr>
                        <w:r>
                          <w:rPr>
                            <w:rStyle w:val="SubtleEmphasis"/>
                            <w:rFonts w:asciiTheme="minorHAnsi" w:hAnsiTheme="minorHAnsi" w:cstheme="minorHAnsi"/>
                            <w:i w:val="0"/>
                            <w:color w:val="000000"/>
                            <w:sz w:val="18"/>
                            <w:szCs w:val="18"/>
                            <w:lang w:bidi="en-US"/>
                          </w:rPr>
                          <w:t>2,000</w:t>
                        </w:r>
                      </w:p>
                    </w:tc>
                  </w:tr>
                  <w:tr w:rsidR="006F0BD3" w:rsidRPr="00551D5A" w14:paraId="73637B29" w14:textId="77777777" w:rsidTr="00997EF7">
                    <w:trPr>
                      <w:trHeight w:val="542"/>
                    </w:trPr>
                    <w:tc>
                      <w:tcPr>
                        <w:tcW w:w="4857" w:type="dxa"/>
                        <w:tcBorders>
                          <w:top w:val="single" w:sz="4" w:space="0" w:color="auto"/>
                          <w:bottom w:val="single" w:sz="4" w:space="0" w:color="auto"/>
                        </w:tcBorders>
                        <w:shd w:val="clear" w:color="auto" w:fill="auto"/>
                      </w:tcPr>
                      <w:p w14:paraId="62C8E4F7" w14:textId="77777777" w:rsidR="006F0BD3" w:rsidRPr="00846EEE" w:rsidRDefault="006F0BD3" w:rsidP="00997EF7">
                        <w:pPr>
                          <w:spacing w:after="0" w:line="240" w:lineRule="auto"/>
                          <w:ind w:hanging="68"/>
                          <w:rPr>
                            <w:rFonts w:asciiTheme="minorHAnsi" w:hAnsiTheme="minorHAnsi" w:cstheme="minorHAnsi"/>
                            <w:color w:val="000000"/>
                            <w:sz w:val="18"/>
                            <w:szCs w:val="18"/>
                            <w:lang w:val="en-US" w:bidi="en-US"/>
                          </w:rPr>
                        </w:pPr>
                      </w:p>
                      <w:p w14:paraId="5004CE0B" w14:textId="77777777" w:rsidR="006F0BD3" w:rsidRPr="00846EEE" w:rsidRDefault="006F0BD3" w:rsidP="00997EF7">
                        <w:pPr>
                          <w:spacing w:after="0" w:line="240" w:lineRule="auto"/>
                          <w:ind w:hanging="68"/>
                          <w:rPr>
                            <w:rFonts w:asciiTheme="minorHAnsi" w:hAnsiTheme="minorHAnsi" w:cstheme="minorHAnsi"/>
                            <w:color w:val="000000"/>
                            <w:sz w:val="18"/>
                            <w:szCs w:val="18"/>
                            <w:lang w:val="en-US" w:bidi="en-US"/>
                          </w:rPr>
                        </w:pPr>
                        <w:r w:rsidRPr="00846EEE">
                          <w:rPr>
                            <w:rFonts w:asciiTheme="minorHAnsi" w:hAnsiTheme="minorHAnsi" w:cstheme="minorHAnsi"/>
                            <w:color w:val="000000"/>
                            <w:sz w:val="18"/>
                            <w:szCs w:val="18"/>
                            <w:lang w:val="en-US" w:bidi="en-US"/>
                          </w:rPr>
                          <w:t xml:space="preserve">Less: </w:t>
                        </w:r>
                        <w:proofErr w:type="spellStart"/>
                        <w:r w:rsidRPr="00846EEE">
                          <w:rPr>
                            <w:rFonts w:asciiTheme="minorHAnsi" w:hAnsiTheme="minorHAnsi" w:cstheme="minorHAnsi"/>
                            <w:color w:val="000000"/>
                            <w:sz w:val="18"/>
                            <w:szCs w:val="18"/>
                            <w:lang w:val="en-US" w:bidi="en-US"/>
                          </w:rPr>
                          <w:t>Unamortised</w:t>
                        </w:r>
                        <w:proofErr w:type="spellEnd"/>
                        <w:r w:rsidRPr="00846EEE">
                          <w:rPr>
                            <w:rFonts w:asciiTheme="minorHAnsi" w:hAnsiTheme="minorHAnsi" w:cstheme="minorHAnsi"/>
                            <w:color w:val="000000"/>
                            <w:sz w:val="18"/>
                            <w:szCs w:val="18"/>
                            <w:lang w:val="en-US" w:bidi="en-US"/>
                          </w:rPr>
                          <w:t xml:space="preserve"> debt issue cost</w:t>
                        </w:r>
                      </w:p>
                    </w:tc>
                    <w:tc>
                      <w:tcPr>
                        <w:tcW w:w="1541" w:type="dxa"/>
                        <w:tcBorders>
                          <w:top w:val="single" w:sz="4" w:space="0" w:color="auto"/>
                          <w:bottom w:val="single" w:sz="4" w:space="0" w:color="auto"/>
                        </w:tcBorders>
                        <w:shd w:val="clear" w:color="auto" w:fill="auto"/>
                      </w:tcPr>
                      <w:p w14:paraId="59545E6D" w14:textId="77777777" w:rsidR="001C549A" w:rsidRDefault="001C549A" w:rsidP="001C549A">
                        <w:pPr>
                          <w:pStyle w:val="DecimalAligned"/>
                          <w:spacing w:after="0" w:line="240" w:lineRule="auto"/>
                          <w:jc w:val="right"/>
                          <w:rPr>
                            <w:rFonts w:asciiTheme="minorHAnsi" w:hAnsiTheme="minorHAnsi" w:cstheme="minorHAnsi"/>
                            <w:b/>
                            <w:color w:val="000000"/>
                            <w:sz w:val="18"/>
                            <w:szCs w:val="18"/>
                            <w:lang w:bidi="en-US"/>
                          </w:rPr>
                        </w:pPr>
                        <w:r>
                          <w:rPr>
                            <w:rFonts w:asciiTheme="minorHAnsi" w:hAnsiTheme="minorHAnsi" w:cstheme="minorHAnsi"/>
                            <w:b/>
                            <w:color w:val="000000"/>
                            <w:sz w:val="18"/>
                            <w:szCs w:val="18"/>
                            <w:lang w:bidi="en-US"/>
                          </w:rPr>
                          <w:t>13,032</w:t>
                        </w:r>
                      </w:p>
                      <w:p w14:paraId="270FF0F6" w14:textId="2446E950" w:rsidR="001C549A" w:rsidRPr="00846EEE" w:rsidRDefault="001C549A" w:rsidP="001C549A">
                        <w:pPr>
                          <w:pStyle w:val="DecimalAligned"/>
                          <w:spacing w:after="0" w:line="240" w:lineRule="auto"/>
                          <w:jc w:val="right"/>
                          <w:rPr>
                            <w:rFonts w:asciiTheme="minorHAnsi" w:hAnsiTheme="minorHAnsi" w:cstheme="minorHAnsi"/>
                            <w:b/>
                            <w:color w:val="000000"/>
                            <w:sz w:val="18"/>
                            <w:szCs w:val="18"/>
                            <w:lang w:bidi="en-US"/>
                          </w:rPr>
                        </w:pPr>
                        <w:r>
                          <w:rPr>
                            <w:rFonts w:asciiTheme="minorHAnsi" w:hAnsiTheme="minorHAnsi" w:cstheme="minorHAnsi"/>
                            <w:b/>
                            <w:color w:val="000000"/>
                            <w:sz w:val="18"/>
                            <w:szCs w:val="18"/>
                            <w:lang w:bidi="en-US"/>
                          </w:rPr>
                          <w:t>(98)</w:t>
                        </w:r>
                      </w:p>
                    </w:tc>
                    <w:tc>
                      <w:tcPr>
                        <w:tcW w:w="1541" w:type="dxa"/>
                        <w:tcBorders>
                          <w:top w:val="single" w:sz="4" w:space="0" w:color="auto"/>
                          <w:bottom w:val="single" w:sz="4" w:space="0" w:color="auto"/>
                        </w:tcBorders>
                      </w:tcPr>
                      <w:p w14:paraId="56B1B751" w14:textId="77777777" w:rsidR="006F0BD3" w:rsidRPr="00846EEE" w:rsidRDefault="006F0BD3" w:rsidP="006F0BD3">
                        <w:pPr>
                          <w:pStyle w:val="DecimalAligned"/>
                          <w:spacing w:after="0" w:line="240" w:lineRule="auto"/>
                          <w:jc w:val="right"/>
                          <w:rPr>
                            <w:rFonts w:asciiTheme="minorHAnsi" w:hAnsiTheme="minorHAnsi" w:cstheme="minorHAnsi"/>
                            <w:bCs/>
                            <w:color w:val="000000"/>
                            <w:sz w:val="18"/>
                            <w:szCs w:val="18"/>
                            <w:lang w:bidi="en-US"/>
                          </w:rPr>
                        </w:pPr>
                        <w:r w:rsidRPr="00846EEE">
                          <w:rPr>
                            <w:rFonts w:asciiTheme="minorHAnsi" w:hAnsiTheme="minorHAnsi" w:cstheme="minorHAnsi"/>
                            <w:bCs/>
                            <w:color w:val="000000"/>
                            <w:sz w:val="18"/>
                            <w:szCs w:val="18"/>
                            <w:lang w:bidi="en-US"/>
                          </w:rPr>
                          <w:t>20,181</w:t>
                        </w:r>
                      </w:p>
                      <w:p w14:paraId="599AB51C" w14:textId="54B34EA6" w:rsidR="006F0BD3" w:rsidRPr="00846EEE" w:rsidRDefault="006F0BD3" w:rsidP="006F0BD3">
                        <w:pPr>
                          <w:pStyle w:val="DecimalAligned"/>
                          <w:spacing w:after="0" w:line="240" w:lineRule="auto"/>
                          <w:jc w:val="right"/>
                          <w:rPr>
                            <w:rFonts w:asciiTheme="minorHAnsi" w:hAnsiTheme="minorHAnsi" w:cstheme="minorHAnsi"/>
                            <w:bCs/>
                            <w:color w:val="000000"/>
                            <w:sz w:val="18"/>
                            <w:szCs w:val="18"/>
                            <w:lang w:bidi="en-US"/>
                          </w:rPr>
                        </w:pPr>
                        <w:r w:rsidRPr="00846EEE">
                          <w:rPr>
                            <w:rFonts w:asciiTheme="minorHAnsi" w:hAnsiTheme="minorHAnsi" w:cstheme="minorHAnsi"/>
                            <w:bCs/>
                            <w:color w:val="000000"/>
                            <w:sz w:val="18"/>
                            <w:szCs w:val="18"/>
                            <w:lang w:bidi="en-US"/>
                          </w:rPr>
                          <w:t>(90)</w:t>
                        </w:r>
                      </w:p>
                    </w:tc>
                    <w:tc>
                      <w:tcPr>
                        <w:tcW w:w="1542" w:type="dxa"/>
                        <w:tcBorders>
                          <w:top w:val="single" w:sz="4" w:space="0" w:color="auto"/>
                          <w:bottom w:val="single" w:sz="4" w:space="0" w:color="auto"/>
                        </w:tcBorders>
                        <w:shd w:val="clear" w:color="auto" w:fill="auto"/>
                      </w:tcPr>
                      <w:p w14:paraId="7CF25D14" w14:textId="77777777" w:rsidR="006F0BD3" w:rsidRDefault="00E036AA" w:rsidP="006F0BD3">
                        <w:pPr>
                          <w:pStyle w:val="DecimalAligned"/>
                          <w:spacing w:after="0" w:line="240" w:lineRule="auto"/>
                          <w:jc w:val="right"/>
                          <w:rPr>
                            <w:rFonts w:asciiTheme="minorHAnsi" w:hAnsiTheme="minorHAnsi" w:cstheme="minorHAnsi"/>
                            <w:color w:val="000000"/>
                            <w:sz w:val="18"/>
                            <w:szCs w:val="18"/>
                            <w:lang w:bidi="en-US"/>
                          </w:rPr>
                        </w:pPr>
                        <w:r>
                          <w:rPr>
                            <w:rFonts w:asciiTheme="minorHAnsi" w:hAnsiTheme="minorHAnsi" w:cstheme="minorHAnsi"/>
                            <w:color w:val="000000"/>
                            <w:sz w:val="18"/>
                            <w:szCs w:val="18"/>
                            <w:lang w:bidi="en-US"/>
                          </w:rPr>
                          <w:t>22,396</w:t>
                        </w:r>
                      </w:p>
                      <w:p w14:paraId="18363A33" w14:textId="21FDA42E" w:rsidR="00E036AA" w:rsidRPr="00846EEE" w:rsidRDefault="00E036AA" w:rsidP="006F0BD3">
                        <w:pPr>
                          <w:pStyle w:val="DecimalAligned"/>
                          <w:spacing w:after="0" w:line="240" w:lineRule="auto"/>
                          <w:jc w:val="right"/>
                          <w:rPr>
                            <w:rFonts w:asciiTheme="minorHAnsi" w:hAnsiTheme="minorHAnsi" w:cstheme="minorHAnsi"/>
                            <w:color w:val="000000"/>
                            <w:sz w:val="18"/>
                            <w:szCs w:val="18"/>
                            <w:lang w:bidi="en-US"/>
                          </w:rPr>
                        </w:pPr>
                        <w:r>
                          <w:rPr>
                            <w:rFonts w:asciiTheme="minorHAnsi" w:hAnsiTheme="minorHAnsi" w:cstheme="minorHAnsi"/>
                            <w:color w:val="000000"/>
                            <w:sz w:val="18"/>
                            <w:szCs w:val="18"/>
                            <w:lang w:bidi="en-US"/>
                          </w:rPr>
                          <w:t>(82)</w:t>
                        </w:r>
                      </w:p>
                    </w:tc>
                  </w:tr>
                  <w:tr w:rsidR="006F0BD3" w:rsidRPr="00551D5A" w14:paraId="46B1FDB5" w14:textId="77777777" w:rsidTr="00997EF7">
                    <w:tc>
                      <w:tcPr>
                        <w:tcW w:w="4857" w:type="dxa"/>
                        <w:tcBorders>
                          <w:top w:val="single" w:sz="4" w:space="0" w:color="auto"/>
                          <w:bottom w:val="double" w:sz="4" w:space="0" w:color="auto"/>
                        </w:tcBorders>
                        <w:shd w:val="clear" w:color="auto" w:fill="auto"/>
                      </w:tcPr>
                      <w:p w14:paraId="4A78BC6B" w14:textId="77777777" w:rsidR="006F0BD3" w:rsidRPr="00846EEE" w:rsidRDefault="006F0BD3" w:rsidP="00997EF7">
                        <w:pPr>
                          <w:spacing w:after="0" w:line="240" w:lineRule="auto"/>
                          <w:ind w:hanging="68"/>
                          <w:rPr>
                            <w:rFonts w:asciiTheme="minorHAnsi" w:hAnsiTheme="minorHAnsi" w:cstheme="minorHAnsi"/>
                            <w:color w:val="000000"/>
                            <w:sz w:val="18"/>
                            <w:szCs w:val="18"/>
                            <w:lang w:val="en-US" w:bidi="en-US"/>
                          </w:rPr>
                        </w:pPr>
                      </w:p>
                    </w:tc>
                    <w:tc>
                      <w:tcPr>
                        <w:tcW w:w="1541" w:type="dxa"/>
                        <w:tcBorders>
                          <w:top w:val="single" w:sz="4" w:space="0" w:color="auto"/>
                          <w:bottom w:val="double" w:sz="4" w:space="0" w:color="auto"/>
                        </w:tcBorders>
                        <w:shd w:val="clear" w:color="auto" w:fill="auto"/>
                      </w:tcPr>
                      <w:p w14:paraId="14E13DB3" w14:textId="523CCD32" w:rsidR="006F0BD3" w:rsidRPr="00846EEE" w:rsidRDefault="001C549A" w:rsidP="006F0BD3">
                        <w:pPr>
                          <w:pStyle w:val="DecimalAligned"/>
                          <w:spacing w:after="0" w:line="240" w:lineRule="auto"/>
                          <w:jc w:val="right"/>
                          <w:rPr>
                            <w:rFonts w:asciiTheme="minorHAnsi" w:hAnsiTheme="minorHAnsi" w:cstheme="minorHAnsi"/>
                            <w:b/>
                            <w:color w:val="000000"/>
                            <w:sz w:val="18"/>
                            <w:szCs w:val="18"/>
                            <w:lang w:bidi="en-US"/>
                          </w:rPr>
                        </w:pPr>
                        <w:r>
                          <w:rPr>
                            <w:rFonts w:asciiTheme="minorHAnsi" w:hAnsiTheme="minorHAnsi" w:cstheme="minorHAnsi"/>
                            <w:b/>
                            <w:color w:val="000000"/>
                            <w:sz w:val="18"/>
                            <w:szCs w:val="18"/>
                            <w:lang w:bidi="en-US"/>
                          </w:rPr>
                          <w:t>12,934</w:t>
                        </w:r>
                      </w:p>
                    </w:tc>
                    <w:tc>
                      <w:tcPr>
                        <w:tcW w:w="1541" w:type="dxa"/>
                        <w:tcBorders>
                          <w:top w:val="single" w:sz="4" w:space="0" w:color="auto"/>
                          <w:bottom w:val="double" w:sz="4" w:space="0" w:color="auto"/>
                        </w:tcBorders>
                      </w:tcPr>
                      <w:p w14:paraId="2008B3ED" w14:textId="20BFBC40" w:rsidR="006F0BD3" w:rsidRPr="00846EEE" w:rsidRDefault="006F0BD3" w:rsidP="006F0BD3">
                        <w:pPr>
                          <w:pStyle w:val="DecimalAligned"/>
                          <w:spacing w:after="0" w:line="240" w:lineRule="auto"/>
                          <w:jc w:val="right"/>
                          <w:rPr>
                            <w:rFonts w:asciiTheme="minorHAnsi" w:hAnsiTheme="minorHAnsi" w:cstheme="minorHAnsi"/>
                            <w:bCs/>
                            <w:color w:val="000000"/>
                            <w:sz w:val="18"/>
                            <w:szCs w:val="18"/>
                            <w:lang w:bidi="en-US"/>
                          </w:rPr>
                        </w:pPr>
                        <w:r w:rsidRPr="00846EEE">
                          <w:rPr>
                            <w:rFonts w:asciiTheme="minorHAnsi" w:hAnsiTheme="minorHAnsi" w:cstheme="minorHAnsi"/>
                            <w:bCs/>
                            <w:color w:val="000000"/>
                            <w:sz w:val="18"/>
                            <w:szCs w:val="18"/>
                            <w:lang w:bidi="en-US"/>
                          </w:rPr>
                          <w:t>20,091</w:t>
                        </w:r>
                      </w:p>
                    </w:tc>
                    <w:tc>
                      <w:tcPr>
                        <w:tcW w:w="1542" w:type="dxa"/>
                        <w:tcBorders>
                          <w:top w:val="single" w:sz="4" w:space="0" w:color="auto"/>
                          <w:bottom w:val="double" w:sz="4" w:space="0" w:color="auto"/>
                        </w:tcBorders>
                        <w:shd w:val="clear" w:color="auto" w:fill="auto"/>
                      </w:tcPr>
                      <w:p w14:paraId="08EB51E9" w14:textId="4361862D" w:rsidR="006F0BD3" w:rsidRPr="00846EEE" w:rsidRDefault="00E036AA" w:rsidP="006F0BD3">
                        <w:pPr>
                          <w:pStyle w:val="DecimalAligned"/>
                          <w:spacing w:after="0" w:line="240" w:lineRule="auto"/>
                          <w:jc w:val="right"/>
                          <w:rPr>
                            <w:rFonts w:asciiTheme="minorHAnsi" w:hAnsiTheme="minorHAnsi" w:cstheme="minorHAnsi"/>
                            <w:color w:val="000000"/>
                            <w:sz w:val="18"/>
                            <w:szCs w:val="18"/>
                            <w:lang w:bidi="en-US"/>
                          </w:rPr>
                        </w:pPr>
                        <w:r>
                          <w:rPr>
                            <w:rFonts w:asciiTheme="minorHAnsi" w:hAnsiTheme="minorHAnsi" w:cstheme="minorHAnsi"/>
                            <w:color w:val="000000"/>
                            <w:sz w:val="18"/>
                            <w:szCs w:val="18"/>
                            <w:lang w:bidi="en-US"/>
                          </w:rPr>
                          <w:t>22,314</w:t>
                        </w:r>
                      </w:p>
                    </w:tc>
                  </w:tr>
                  <w:tr w:rsidR="00781C85" w:rsidRPr="00551D5A" w14:paraId="5EEC3C73" w14:textId="77777777" w:rsidTr="00997EF7">
                    <w:tc>
                      <w:tcPr>
                        <w:tcW w:w="4857" w:type="dxa"/>
                        <w:tcBorders>
                          <w:top w:val="double" w:sz="4" w:space="0" w:color="auto"/>
                          <w:bottom w:val="nil"/>
                        </w:tcBorders>
                        <w:shd w:val="clear" w:color="auto" w:fill="auto"/>
                      </w:tcPr>
                      <w:p w14:paraId="355EED15" w14:textId="77777777" w:rsidR="00781C85" w:rsidRPr="00846EEE" w:rsidRDefault="00781C85" w:rsidP="00997EF7">
                        <w:pPr>
                          <w:spacing w:after="0" w:line="240" w:lineRule="auto"/>
                          <w:ind w:hanging="68"/>
                          <w:rPr>
                            <w:rFonts w:asciiTheme="minorHAnsi" w:hAnsiTheme="minorHAnsi" w:cstheme="minorHAnsi"/>
                            <w:color w:val="000000"/>
                            <w:sz w:val="18"/>
                            <w:szCs w:val="18"/>
                            <w:lang w:val="en-US" w:bidi="en-US"/>
                          </w:rPr>
                        </w:pPr>
                      </w:p>
                    </w:tc>
                    <w:tc>
                      <w:tcPr>
                        <w:tcW w:w="1541" w:type="dxa"/>
                        <w:tcBorders>
                          <w:top w:val="double" w:sz="4" w:space="0" w:color="auto"/>
                          <w:bottom w:val="nil"/>
                        </w:tcBorders>
                        <w:shd w:val="clear" w:color="auto" w:fill="auto"/>
                      </w:tcPr>
                      <w:p w14:paraId="15BA20CA" w14:textId="77777777" w:rsidR="00781C85" w:rsidRPr="00846EEE" w:rsidRDefault="00781C85" w:rsidP="0047121F">
                        <w:pPr>
                          <w:pStyle w:val="DecimalAligned"/>
                          <w:spacing w:after="0" w:line="240" w:lineRule="auto"/>
                          <w:jc w:val="right"/>
                          <w:rPr>
                            <w:rFonts w:asciiTheme="minorHAnsi" w:hAnsiTheme="minorHAnsi" w:cstheme="minorHAnsi"/>
                            <w:b/>
                            <w:color w:val="000000"/>
                            <w:sz w:val="18"/>
                            <w:szCs w:val="18"/>
                            <w:lang w:bidi="en-US"/>
                          </w:rPr>
                        </w:pPr>
                      </w:p>
                    </w:tc>
                    <w:tc>
                      <w:tcPr>
                        <w:tcW w:w="1541" w:type="dxa"/>
                        <w:tcBorders>
                          <w:top w:val="double" w:sz="4" w:space="0" w:color="auto"/>
                          <w:bottom w:val="nil"/>
                        </w:tcBorders>
                      </w:tcPr>
                      <w:p w14:paraId="208896EA" w14:textId="77777777" w:rsidR="00781C85" w:rsidRPr="00846EEE" w:rsidRDefault="00781C85" w:rsidP="0047121F">
                        <w:pPr>
                          <w:pStyle w:val="DecimalAligned"/>
                          <w:spacing w:after="0" w:line="240" w:lineRule="auto"/>
                          <w:jc w:val="right"/>
                          <w:rPr>
                            <w:rFonts w:asciiTheme="minorHAnsi" w:hAnsiTheme="minorHAnsi" w:cstheme="minorHAnsi"/>
                            <w:color w:val="000000"/>
                            <w:sz w:val="18"/>
                            <w:szCs w:val="18"/>
                            <w:lang w:bidi="en-US"/>
                          </w:rPr>
                        </w:pPr>
                      </w:p>
                    </w:tc>
                    <w:tc>
                      <w:tcPr>
                        <w:tcW w:w="1542" w:type="dxa"/>
                        <w:tcBorders>
                          <w:top w:val="double" w:sz="4" w:space="0" w:color="auto"/>
                          <w:bottom w:val="nil"/>
                        </w:tcBorders>
                        <w:shd w:val="clear" w:color="auto" w:fill="auto"/>
                      </w:tcPr>
                      <w:p w14:paraId="331244F5" w14:textId="77777777" w:rsidR="00781C85" w:rsidRPr="00846EEE" w:rsidRDefault="00781C85" w:rsidP="0047121F">
                        <w:pPr>
                          <w:pStyle w:val="DecimalAligned"/>
                          <w:spacing w:after="0" w:line="240" w:lineRule="auto"/>
                          <w:jc w:val="right"/>
                          <w:rPr>
                            <w:rFonts w:asciiTheme="minorHAnsi" w:hAnsiTheme="minorHAnsi" w:cstheme="minorHAnsi"/>
                            <w:color w:val="000000"/>
                            <w:sz w:val="18"/>
                            <w:szCs w:val="18"/>
                            <w:lang w:bidi="en-US"/>
                          </w:rPr>
                        </w:pPr>
                      </w:p>
                    </w:tc>
                  </w:tr>
                  <w:tr w:rsidR="00781C85" w:rsidRPr="00551D5A" w14:paraId="36B90B74" w14:textId="77777777" w:rsidTr="00997EF7">
                    <w:trPr>
                      <w:trHeight w:val="135"/>
                    </w:trPr>
                    <w:tc>
                      <w:tcPr>
                        <w:tcW w:w="4857" w:type="dxa"/>
                        <w:tcBorders>
                          <w:top w:val="nil"/>
                          <w:bottom w:val="nil"/>
                        </w:tcBorders>
                        <w:shd w:val="clear" w:color="auto" w:fill="auto"/>
                      </w:tcPr>
                      <w:p w14:paraId="27D7F2A0" w14:textId="77777777" w:rsidR="00781C85" w:rsidRPr="00846EEE" w:rsidRDefault="00781C85" w:rsidP="00997EF7">
                        <w:pPr>
                          <w:spacing w:after="0" w:line="240" w:lineRule="auto"/>
                          <w:ind w:hanging="68"/>
                          <w:rPr>
                            <w:rFonts w:asciiTheme="minorHAnsi" w:hAnsiTheme="minorHAnsi" w:cstheme="minorHAnsi"/>
                            <w:color w:val="000000"/>
                            <w:sz w:val="18"/>
                            <w:szCs w:val="18"/>
                            <w:lang w:val="en-US" w:bidi="en-US"/>
                          </w:rPr>
                        </w:pPr>
                        <w:r w:rsidRPr="00846EEE">
                          <w:rPr>
                            <w:rFonts w:asciiTheme="minorHAnsi" w:hAnsiTheme="minorHAnsi" w:cstheme="minorHAnsi"/>
                            <w:b/>
                            <w:color w:val="000000"/>
                            <w:sz w:val="18"/>
                            <w:szCs w:val="18"/>
                            <w:lang w:val="en-US" w:bidi="en-US"/>
                          </w:rPr>
                          <w:t>Non-current</w:t>
                        </w:r>
                      </w:p>
                    </w:tc>
                    <w:tc>
                      <w:tcPr>
                        <w:tcW w:w="1541" w:type="dxa"/>
                        <w:tcBorders>
                          <w:top w:val="nil"/>
                          <w:bottom w:val="nil"/>
                        </w:tcBorders>
                        <w:shd w:val="clear" w:color="auto" w:fill="auto"/>
                      </w:tcPr>
                      <w:p w14:paraId="2283BEB7" w14:textId="77777777" w:rsidR="00781C85" w:rsidRPr="00846EEE" w:rsidRDefault="00781C85" w:rsidP="0047121F">
                        <w:pPr>
                          <w:pStyle w:val="DecimalAligned"/>
                          <w:spacing w:after="0" w:line="240" w:lineRule="auto"/>
                          <w:jc w:val="right"/>
                          <w:rPr>
                            <w:rFonts w:asciiTheme="minorHAnsi" w:hAnsiTheme="minorHAnsi" w:cstheme="minorHAnsi"/>
                            <w:b/>
                            <w:color w:val="000000"/>
                            <w:sz w:val="18"/>
                            <w:szCs w:val="18"/>
                            <w:lang w:bidi="en-US"/>
                          </w:rPr>
                        </w:pPr>
                      </w:p>
                    </w:tc>
                    <w:tc>
                      <w:tcPr>
                        <w:tcW w:w="1541" w:type="dxa"/>
                        <w:tcBorders>
                          <w:top w:val="nil"/>
                          <w:bottom w:val="nil"/>
                        </w:tcBorders>
                      </w:tcPr>
                      <w:p w14:paraId="33383D1C" w14:textId="77777777" w:rsidR="00781C85" w:rsidRPr="00846EEE" w:rsidRDefault="00781C85" w:rsidP="0047121F">
                        <w:pPr>
                          <w:pStyle w:val="DecimalAligned"/>
                          <w:spacing w:after="0" w:line="240" w:lineRule="auto"/>
                          <w:jc w:val="right"/>
                          <w:rPr>
                            <w:rFonts w:asciiTheme="minorHAnsi" w:hAnsiTheme="minorHAnsi" w:cstheme="minorHAnsi"/>
                            <w:color w:val="000000"/>
                            <w:sz w:val="18"/>
                            <w:szCs w:val="18"/>
                            <w:lang w:bidi="en-US"/>
                          </w:rPr>
                        </w:pPr>
                      </w:p>
                    </w:tc>
                    <w:tc>
                      <w:tcPr>
                        <w:tcW w:w="1542" w:type="dxa"/>
                        <w:tcBorders>
                          <w:top w:val="nil"/>
                          <w:bottom w:val="nil"/>
                        </w:tcBorders>
                        <w:shd w:val="clear" w:color="auto" w:fill="auto"/>
                      </w:tcPr>
                      <w:p w14:paraId="0F8D31B8" w14:textId="77777777" w:rsidR="00781C85" w:rsidRPr="00846EEE" w:rsidRDefault="00781C85" w:rsidP="0047121F">
                        <w:pPr>
                          <w:pStyle w:val="DecimalAligned"/>
                          <w:spacing w:after="0" w:line="240" w:lineRule="auto"/>
                          <w:jc w:val="right"/>
                          <w:rPr>
                            <w:rFonts w:asciiTheme="minorHAnsi" w:hAnsiTheme="minorHAnsi" w:cstheme="minorHAnsi"/>
                            <w:color w:val="000000"/>
                            <w:sz w:val="18"/>
                            <w:szCs w:val="18"/>
                            <w:lang w:bidi="en-US"/>
                          </w:rPr>
                        </w:pPr>
                      </w:p>
                    </w:tc>
                  </w:tr>
                  <w:tr w:rsidR="006F0BD3" w:rsidRPr="00551D5A" w14:paraId="28D495F3" w14:textId="77777777" w:rsidTr="00997EF7">
                    <w:tc>
                      <w:tcPr>
                        <w:tcW w:w="4857" w:type="dxa"/>
                        <w:tcBorders>
                          <w:top w:val="nil"/>
                          <w:bottom w:val="single" w:sz="4" w:space="0" w:color="auto"/>
                        </w:tcBorders>
                        <w:shd w:val="clear" w:color="auto" w:fill="auto"/>
                      </w:tcPr>
                      <w:p w14:paraId="73F9300A" w14:textId="77777777" w:rsidR="006F0BD3" w:rsidRPr="00846EEE" w:rsidRDefault="006F0BD3" w:rsidP="00997EF7">
                        <w:pPr>
                          <w:spacing w:after="0" w:line="240" w:lineRule="auto"/>
                          <w:ind w:hanging="68"/>
                          <w:rPr>
                            <w:rFonts w:asciiTheme="minorHAnsi" w:hAnsiTheme="minorHAnsi" w:cstheme="minorHAnsi"/>
                            <w:color w:val="000000"/>
                            <w:sz w:val="18"/>
                            <w:szCs w:val="18"/>
                            <w:lang w:val="en-US" w:bidi="en-US"/>
                          </w:rPr>
                        </w:pPr>
                        <w:r w:rsidRPr="00846EEE">
                          <w:rPr>
                            <w:rFonts w:asciiTheme="minorHAnsi" w:hAnsiTheme="minorHAnsi" w:cstheme="minorHAnsi"/>
                            <w:color w:val="000000"/>
                            <w:sz w:val="18"/>
                            <w:szCs w:val="18"/>
                            <w:lang w:val="en-US" w:bidi="en-US"/>
                          </w:rPr>
                          <w:t>Revolving credit facility</w:t>
                        </w:r>
                      </w:p>
                      <w:p w14:paraId="39B4D3BD" w14:textId="77777777" w:rsidR="006F0BD3" w:rsidRPr="00846EEE" w:rsidRDefault="006F0BD3" w:rsidP="00997EF7">
                        <w:pPr>
                          <w:spacing w:after="0" w:line="240" w:lineRule="auto"/>
                          <w:ind w:hanging="68"/>
                          <w:rPr>
                            <w:rFonts w:asciiTheme="minorHAnsi" w:hAnsiTheme="minorHAnsi" w:cstheme="minorHAnsi"/>
                            <w:color w:val="000000"/>
                            <w:sz w:val="18"/>
                            <w:szCs w:val="18"/>
                            <w:lang w:val="en-US" w:bidi="en-US"/>
                          </w:rPr>
                        </w:pPr>
                        <w:r w:rsidRPr="00846EEE">
                          <w:rPr>
                            <w:rFonts w:asciiTheme="minorHAnsi" w:hAnsiTheme="minorHAnsi" w:cstheme="minorHAnsi"/>
                            <w:color w:val="000000"/>
                            <w:sz w:val="18"/>
                            <w:szCs w:val="18"/>
                            <w:lang w:val="en-US" w:bidi="en-US"/>
                          </w:rPr>
                          <w:t>Term loan</w:t>
                        </w:r>
                      </w:p>
                    </w:tc>
                    <w:tc>
                      <w:tcPr>
                        <w:tcW w:w="1541" w:type="dxa"/>
                        <w:tcBorders>
                          <w:top w:val="nil"/>
                          <w:bottom w:val="single" w:sz="4" w:space="0" w:color="auto"/>
                        </w:tcBorders>
                        <w:shd w:val="clear" w:color="auto" w:fill="auto"/>
                      </w:tcPr>
                      <w:p w14:paraId="0FAB3BB4" w14:textId="77777777" w:rsidR="006F0BD3" w:rsidRDefault="001C549A" w:rsidP="006F0BD3">
                        <w:pPr>
                          <w:pStyle w:val="DecimalAligned"/>
                          <w:spacing w:after="0" w:line="240" w:lineRule="auto"/>
                          <w:jc w:val="right"/>
                          <w:rPr>
                            <w:rFonts w:asciiTheme="minorHAnsi" w:hAnsiTheme="minorHAnsi" w:cstheme="minorHAnsi"/>
                            <w:b/>
                            <w:color w:val="000000"/>
                            <w:sz w:val="18"/>
                            <w:szCs w:val="18"/>
                            <w:lang w:bidi="en-US"/>
                          </w:rPr>
                        </w:pPr>
                        <w:r>
                          <w:rPr>
                            <w:rFonts w:asciiTheme="minorHAnsi" w:hAnsiTheme="minorHAnsi" w:cstheme="minorHAnsi"/>
                            <w:b/>
                            <w:color w:val="000000"/>
                            <w:sz w:val="18"/>
                            <w:szCs w:val="18"/>
                            <w:lang w:bidi="en-US"/>
                          </w:rPr>
                          <w:t>6,500</w:t>
                        </w:r>
                      </w:p>
                      <w:p w14:paraId="4F7ABCE6" w14:textId="7A95FCDA" w:rsidR="001C549A" w:rsidRPr="00846EEE" w:rsidRDefault="001C549A" w:rsidP="006F0BD3">
                        <w:pPr>
                          <w:pStyle w:val="DecimalAligned"/>
                          <w:spacing w:after="0" w:line="240" w:lineRule="auto"/>
                          <w:jc w:val="right"/>
                          <w:rPr>
                            <w:rFonts w:asciiTheme="minorHAnsi" w:hAnsiTheme="minorHAnsi" w:cstheme="minorHAnsi"/>
                            <w:b/>
                            <w:color w:val="000000"/>
                            <w:sz w:val="18"/>
                            <w:szCs w:val="18"/>
                            <w:lang w:bidi="en-US"/>
                          </w:rPr>
                        </w:pPr>
                        <w:r>
                          <w:rPr>
                            <w:rFonts w:asciiTheme="minorHAnsi" w:hAnsiTheme="minorHAnsi" w:cstheme="minorHAnsi"/>
                            <w:b/>
                            <w:color w:val="000000"/>
                            <w:sz w:val="18"/>
                            <w:szCs w:val="18"/>
                            <w:lang w:bidi="en-US"/>
                          </w:rPr>
                          <w:t>5,000</w:t>
                        </w:r>
                      </w:p>
                    </w:tc>
                    <w:tc>
                      <w:tcPr>
                        <w:tcW w:w="1541" w:type="dxa"/>
                        <w:tcBorders>
                          <w:top w:val="nil"/>
                          <w:bottom w:val="single" w:sz="4" w:space="0" w:color="auto"/>
                        </w:tcBorders>
                      </w:tcPr>
                      <w:p w14:paraId="4ED6DAE1" w14:textId="77777777" w:rsidR="006F0BD3" w:rsidRPr="00846EEE" w:rsidRDefault="006F0BD3" w:rsidP="006F0BD3">
                        <w:pPr>
                          <w:pStyle w:val="DecimalAligned"/>
                          <w:spacing w:after="0" w:line="240" w:lineRule="auto"/>
                          <w:jc w:val="right"/>
                          <w:rPr>
                            <w:rFonts w:asciiTheme="minorHAnsi" w:hAnsiTheme="minorHAnsi" w:cstheme="minorHAnsi"/>
                            <w:bCs/>
                            <w:color w:val="000000"/>
                            <w:sz w:val="18"/>
                            <w:szCs w:val="18"/>
                            <w:lang w:bidi="en-US"/>
                          </w:rPr>
                        </w:pPr>
                        <w:r w:rsidRPr="00846EEE">
                          <w:rPr>
                            <w:rFonts w:asciiTheme="minorHAnsi" w:hAnsiTheme="minorHAnsi" w:cstheme="minorHAnsi"/>
                            <w:bCs/>
                            <w:color w:val="000000"/>
                            <w:sz w:val="18"/>
                            <w:szCs w:val="18"/>
                            <w:lang w:bidi="en-US"/>
                          </w:rPr>
                          <w:t>3,343</w:t>
                        </w:r>
                      </w:p>
                      <w:p w14:paraId="49AFBB09" w14:textId="7A29080D" w:rsidR="006F0BD3" w:rsidRPr="00846EEE" w:rsidRDefault="006F0BD3" w:rsidP="006F0BD3">
                        <w:pPr>
                          <w:pStyle w:val="DecimalAligned"/>
                          <w:spacing w:after="0" w:line="240" w:lineRule="auto"/>
                          <w:jc w:val="right"/>
                          <w:rPr>
                            <w:rFonts w:asciiTheme="minorHAnsi" w:hAnsiTheme="minorHAnsi" w:cstheme="minorHAnsi"/>
                            <w:bCs/>
                            <w:color w:val="000000"/>
                            <w:sz w:val="18"/>
                            <w:szCs w:val="18"/>
                            <w:lang w:bidi="en-US"/>
                          </w:rPr>
                        </w:pPr>
                        <w:r w:rsidRPr="00846EEE">
                          <w:rPr>
                            <w:rFonts w:asciiTheme="minorHAnsi" w:hAnsiTheme="minorHAnsi" w:cstheme="minorHAnsi"/>
                            <w:bCs/>
                            <w:color w:val="000000"/>
                            <w:sz w:val="18"/>
                            <w:szCs w:val="18"/>
                            <w:lang w:bidi="en-US"/>
                          </w:rPr>
                          <w:t>7,000</w:t>
                        </w:r>
                      </w:p>
                    </w:tc>
                    <w:tc>
                      <w:tcPr>
                        <w:tcW w:w="1542" w:type="dxa"/>
                        <w:tcBorders>
                          <w:top w:val="nil"/>
                          <w:bottom w:val="single" w:sz="4" w:space="0" w:color="auto"/>
                        </w:tcBorders>
                        <w:shd w:val="clear" w:color="auto" w:fill="auto"/>
                      </w:tcPr>
                      <w:p w14:paraId="547FE1A6" w14:textId="77777777" w:rsidR="006F0BD3" w:rsidRDefault="00E036AA" w:rsidP="006F0BD3">
                        <w:pPr>
                          <w:pStyle w:val="DecimalAligned"/>
                          <w:spacing w:after="0" w:line="240" w:lineRule="auto"/>
                          <w:jc w:val="right"/>
                          <w:rPr>
                            <w:rFonts w:asciiTheme="minorHAnsi" w:hAnsiTheme="minorHAnsi" w:cstheme="minorHAnsi"/>
                            <w:color w:val="000000"/>
                            <w:sz w:val="18"/>
                            <w:szCs w:val="18"/>
                            <w:lang w:bidi="en-US"/>
                          </w:rPr>
                        </w:pPr>
                        <w:r>
                          <w:rPr>
                            <w:rFonts w:asciiTheme="minorHAnsi" w:hAnsiTheme="minorHAnsi" w:cstheme="minorHAnsi"/>
                            <w:color w:val="000000"/>
                            <w:sz w:val="18"/>
                            <w:szCs w:val="18"/>
                            <w:lang w:bidi="en-US"/>
                          </w:rPr>
                          <w:t>2,217</w:t>
                        </w:r>
                      </w:p>
                      <w:p w14:paraId="2824DA39" w14:textId="6EC3EC67" w:rsidR="00E036AA" w:rsidRPr="00846EEE" w:rsidRDefault="00E036AA" w:rsidP="006F0BD3">
                        <w:pPr>
                          <w:pStyle w:val="DecimalAligned"/>
                          <w:spacing w:after="0" w:line="240" w:lineRule="auto"/>
                          <w:jc w:val="right"/>
                          <w:rPr>
                            <w:rFonts w:asciiTheme="minorHAnsi" w:hAnsiTheme="minorHAnsi" w:cstheme="minorHAnsi"/>
                            <w:color w:val="000000"/>
                            <w:sz w:val="18"/>
                            <w:szCs w:val="18"/>
                            <w:lang w:bidi="en-US"/>
                          </w:rPr>
                        </w:pPr>
                        <w:r>
                          <w:rPr>
                            <w:rFonts w:asciiTheme="minorHAnsi" w:hAnsiTheme="minorHAnsi" w:cstheme="minorHAnsi"/>
                            <w:color w:val="000000"/>
                            <w:sz w:val="18"/>
                            <w:szCs w:val="18"/>
                            <w:lang w:bidi="en-US"/>
                          </w:rPr>
                          <w:t>6,000</w:t>
                        </w:r>
                      </w:p>
                    </w:tc>
                  </w:tr>
                  <w:tr w:rsidR="006F0BD3" w:rsidRPr="00551D5A" w14:paraId="52F9571F" w14:textId="77777777" w:rsidTr="00997EF7">
                    <w:tc>
                      <w:tcPr>
                        <w:tcW w:w="4857" w:type="dxa"/>
                        <w:tcBorders>
                          <w:top w:val="single" w:sz="4" w:space="0" w:color="auto"/>
                          <w:bottom w:val="nil"/>
                        </w:tcBorders>
                        <w:shd w:val="clear" w:color="auto" w:fill="auto"/>
                      </w:tcPr>
                      <w:p w14:paraId="7E894B90" w14:textId="77777777" w:rsidR="006F0BD3" w:rsidRPr="00846EEE" w:rsidRDefault="006F0BD3" w:rsidP="00997EF7">
                        <w:pPr>
                          <w:spacing w:after="0" w:line="240" w:lineRule="auto"/>
                          <w:ind w:hanging="68"/>
                          <w:rPr>
                            <w:rFonts w:asciiTheme="minorHAnsi" w:hAnsiTheme="minorHAnsi" w:cstheme="minorHAnsi"/>
                            <w:color w:val="000000"/>
                            <w:sz w:val="18"/>
                            <w:szCs w:val="18"/>
                            <w:lang w:val="en-US" w:bidi="en-US"/>
                          </w:rPr>
                        </w:pPr>
                      </w:p>
                    </w:tc>
                    <w:tc>
                      <w:tcPr>
                        <w:tcW w:w="1541" w:type="dxa"/>
                        <w:tcBorders>
                          <w:top w:val="single" w:sz="4" w:space="0" w:color="auto"/>
                          <w:bottom w:val="nil"/>
                        </w:tcBorders>
                        <w:shd w:val="clear" w:color="auto" w:fill="auto"/>
                      </w:tcPr>
                      <w:p w14:paraId="7424CDAB" w14:textId="3D86D9BE" w:rsidR="006F0BD3" w:rsidRPr="00846EEE" w:rsidRDefault="001C549A" w:rsidP="006F0BD3">
                        <w:pPr>
                          <w:pStyle w:val="DecimalAligned"/>
                          <w:spacing w:after="0" w:line="240" w:lineRule="auto"/>
                          <w:jc w:val="right"/>
                          <w:rPr>
                            <w:rFonts w:asciiTheme="minorHAnsi" w:hAnsiTheme="minorHAnsi" w:cstheme="minorHAnsi"/>
                            <w:b/>
                            <w:color w:val="000000"/>
                            <w:sz w:val="18"/>
                            <w:szCs w:val="18"/>
                            <w:lang w:bidi="en-US"/>
                          </w:rPr>
                        </w:pPr>
                        <w:r>
                          <w:rPr>
                            <w:rFonts w:asciiTheme="minorHAnsi" w:hAnsiTheme="minorHAnsi" w:cstheme="minorHAnsi"/>
                            <w:b/>
                            <w:color w:val="000000"/>
                            <w:sz w:val="18"/>
                            <w:szCs w:val="18"/>
                            <w:lang w:bidi="en-US"/>
                          </w:rPr>
                          <w:t>11,500</w:t>
                        </w:r>
                      </w:p>
                    </w:tc>
                    <w:tc>
                      <w:tcPr>
                        <w:tcW w:w="1541" w:type="dxa"/>
                        <w:tcBorders>
                          <w:top w:val="single" w:sz="4" w:space="0" w:color="auto"/>
                          <w:bottom w:val="nil"/>
                        </w:tcBorders>
                      </w:tcPr>
                      <w:p w14:paraId="42F30ACA" w14:textId="1C9EA5E4" w:rsidR="006F0BD3" w:rsidRPr="00846EEE" w:rsidRDefault="006F0BD3" w:rsidP="006F0BD3">
                        <w:pPr>
                          <w:pStyle w:val="DecimalAligned"/>
                          <w:spacing w:after="0" w:line="240" w:lineRule="auto"/>
                          <w:jc w:val="right"/>
                          <w:rPr>
                            <w:rFonts w:asciiTheme="minorHAnsi" w:hAnsiTheme="minorHAnsi" w:cstheme="minorHAnsi"/>
                            <w:bCs/>
                            <w:color w:val="000000"/>
                            <w:sz w:val="18"/>
                            <w:szCs w:val="18"/>
                            <w:lang w:bidi="en-US"/>
                          </w:rPr>
                        </w:pPr>
                        <w:r w:rsidRPr="00846EEE">
                          <w:rPr>
                            <w:rFonts w:asciiTheme="minorHAnsi" w:hAnsiTheme="minorHAnsi" w:cstheme="minorHAnsi"/>
                            <w:bCs/>
                            <w:color w:val="000000"/>
                            <w:sz w:val="18"/>
                            <w:szCs w:val="18"/>
                            <w:lang w:bidi="en-US"/>
                          </w:rPr>
                          <w:t>10,343</w:t>
                        </w:r>
                      </w:p>
                    </w:tc>
                    <w:tc>
                      <w:tcPr>
                        <w:tcW w:w="1542" w:type="dxa"/>
                        <w:tcBorders>
                          <w:top w:val="single" w:sz="4" w:space="0" w:color="auto"/>
                          <w:bottom w:val="nil"/>
                        </w:tcBorders>
                        <w:shd w:val="clear" w:color="auto" w:fill="auto"/>
                      </w:tcPr>
                      <w:p w14:paraId="00F1AFFE" w14:textId="2DC5D55A" w:rsidR="006F0BD3" w:rsidRPr="00846EEE" w:rsidRDefault="00E036AA" w:rsidP="006F0BD3">
                        <w:pPr>
                          <w:pStyle w:val="DecimalAligned"/>
                          <w:spacing w:after="0" w:line="240" w:lineRule="auto"/>
                          <w:jc w:val="right"/>
                          <w:rPr>
                            <w:rFonts w:asciiTheme="minorHAnsi" w:hAnsiTheme="minorHAnsi" w:cstheme="minorHAnsi"/>
                            <w:color w:val="000000"/>
                            <w:sz w:val="18"/>
                            <w:szCs w:val="18"/>
                            <w:lang w:bidi="en-US"/>
                          </w:rPr>
                        </w:pPr>
                        <w:r>
                          <w:rPr>
                            <w:rFonts w:asciiTheme="minorHAnsi" w:hAnsiTheme="minorHAnsi" w:cstheme="minorHAnsi"/>
                            <w:color w:val="000000"/>
                            <w:sz w:val="18"/>
                            <w:szCs w:val="18"/>
                            <w:lang w:bidi="en-US"/>
                          </w:rPr>
                          <w:t>8,217</w:t>
                        </w:r>
                      </w:p>
                    </w:tc>
                  </w:tr>
                  <w:tr w:rsidR="006F0BD3" w:rsidRPr="00551D5A" w14:paraId="6301824F" w14:textId="77777777" w:rsidTr="00997EF7">
                    <w:tc>
                      <w:tcPr>
                        <w:tcW w:w="4857" w:type="dxa"/>
                        <w:tcBorders>
                          <w:top w:val="nil"/>
                          <w:bottom w:val="single" w:sz="4" w:space="0" w:color="auto"/>
                        </w:tcBorders>
                        <w:shd w:val="clear" w:color="auto" w:fill="auto"/>
                      </w:tcPr>
                      <w:p w14:paraId="429034C7" w14:textId="77777777" w:rsidR="006F0BD3" w:rsidRPr="00846EEE" w:rsidRDefault="006F0BD3" w:rsidP="00997EF7">
                        <w:pPr>
                          <w:spacing w:after="0" w:line="240" w:lineRule="auto"/>
                          <w:ind w:hanging="68"/>
                          <w:rPr>
                            <w:rFonts w:asciiTheme="minorHAnsi" w:hAnsiTheme="minorHAnsi" w:cstheme="minorHAnsi"/>
                            <w:color w:val="000000"/>
                            <w:sz w:val="18"/>
                            <w:szCs w:val="18"/>
                            <w:lang w:val="en-US" w:bidi="en-US"/>
                          </w:rPr>
                        </w:pPr>
                        <w:r w:rsidRPr="00846EEE">
                          <w:rPr>
                            <w:rFonts w:asciiTheme="minorHAnsi" w:hAnsiTheme="minorHAnsi" w:cstheme="minorHAnsi"/>
                            <w:color w:val="000000"/>
                            <w:sz w:val="18"/>
                            <w:szCs w:val="18"/>
                            <w:lang w:val="en-US" w:bidi="en-US"/>
                          </w:rPr>
                          <w:t xml:space="preserve">Less: </w:t>
                        </w:r>
                        <w:proofErr w:type="spellStart"/>
                        <w:r w:rsidRPr="00846EEE">
                          <w:rPr>
                            <w:rFonts w:asciiTheme="minorHAnsi" w:hAnsiTheme="minorHAnsi" w:cstheme="minorHAnsi"/>
                            <w:color w:val="000000"/>
                            <w:sz w:val="18"/>
                            <w:szCs w:val="18"/>
                            <w:lang w:val="en-US" w:bidi="en-US"/>
                          </w:rPr>
                          <w:t>Unamortised</w:t>
                        </w:r>
                        <w:proofErr w:type="spellEnd"/>
                        <w:r w:rsidRPr="00846EEE">
                          <w:rPr>
                            <w:rFonts w:asciiTheme="minorHAnsi" w:hAnsiTheme="minorHAnsi" w:cstheme="minorHAnsi"/>
                            <w:color w:val="000000"/>
                            <w:sz w:val="18"/>
                            <w:szCs w:val="18"/>
                            <w:lang w:val="en-US" w:bidi="en-US"/>
                          </w:rPr>
                          <w:t xml:space="preserve"> debt issue cost</w:t>
                        </w:r>
                      </w:p>
                    </w:tc>
                    <w:tc>
                      <w:tcPr>
                        <w:tcW w:w="1541" w:type="dxa"/>
                        <w:tcBorders>
                          <w:top w:val="nil"/>
                          <w:bottom w:val="single" w:sz="4" w:space="0" w:color="auto"/>
                        </w:tcBorders>
                        <w:shd w:val="clear" w:color="auto" w:fill="auto"/>
                      </w:tcPr>
                      <w:p w14:paraId="3145868B" w14:textId="05F80224" w:rsidR="006F0BD3" w:rsidRPr="00846EEE" w:rsidRDefault="001C549A" w:rsidP="006F0BD3">
                        <w:pPr>
                          <w:pStyle w:val="DecimalAligned"/>
                          <w:spacing w:after="0" w:line="240" w:lineRule="auto"/>
                          <w:jc w:val="right"/>
                          <w:rPr>
                            <w:rFonts w:asciiTheme="minorHAnsi" w:hAnsiTheme="minorHAnsi" w:cstheme="minorHAnsi"/>
                            <w:b/>
                            <w:color w:val="000000"/>
                            <w:sz w:val="18"/>
                            <w:szCs w:val="18"/>
                            <w:lang w:bidi="en-US"/>
                          </w:rPr>
                        </w:pPr>
                        <w:r>
                          <w:rPr>
                            <w:rFonts w:asciiTheme="minorHAnsi" w:hAnsiTheme="minorHAnsi" w:cstheme="minorHAnsi"/>
                            <w:b/>
                            <w:color w:val="000000"/>
                            <w:sz w:val="18"/>
                            <w:szCs w:val="18"/>
                            <w:lang w:bidi="en-US"/>
                          </w:rPr>
                          <w:t>(42)</w:t>
                        </w:r>
                      </w:p>
                    </w:tc>
                    <w:tc>
                      <w:tcPr>
                        <w:tcW w:w="1541" w:type="dxa"/>
                        <w:tcBorders>
                          <w:top w:val="nil"/>
                          <w:bottom w:val="single" w:sz="4" w:space="0" w:color="auto"/>
                        </w:tcBorders>
                      </w:tcPr>
                      <w:p w14:paraId="53474A94" w14:textId="5F8B1914" w:rsidR="006F0BD3" w:rsidRPr="00846EEE" w:rsidRDefault="006F0BD3" w:rsidP="006F0BD3">
                        <w:pPr>
                          <w:pStyle w:val="DecimalAligned"/>
                          <w:spacing w:after="0" w:line="240" w:lineRule="auto"/>
                          <w:jc w:val="right"/>
                          <w:rPr>
                            <w:rFonts w:asciiTheme="minorHAnsi" w:hAnsiTheme="minorHAnsi" w:cstheme="minorHAnsi"/>
                            <w:bCs/>
                            <w:color w:val="000000"/>
                            <w:sz w:val="18"/>
                            <w:szCs w:val="18"/>
                            <w:lang w:bidi="en-US"/>
                          </w:rPr>
                        </w:pPr>
                        <w:r w:rsidRPr="00846EEE">
                          <w:rPr>
                            <w:rFonts w:asciiTheme="minorHAnsi" w:hAnsiTheme="minorHAnsi" w:cstheme="minorHAnsi"/>
                            <w:bCs/>
                            <w:color w:val="000000"/>
                            <w:sz w:val="18"/>
                            <w:szCs w:val="18"/>
                            <w:lang w:bidi="en-US"/>
                          </w:rPr>
                          <w:t>(104)</w:t>
                        </w:r>
                      </w:p>
                    </w:tc>
                    <w:tc>
                      <w:tcPr>
                        <w:tcW w:w="1542" w:type="dxa"/>
                        <w:tcBorders>
                          <w:top w:val="nil"/>
                          <w:bottom w:val="single" w:sz="4" w:space="0" w:color="auto"/>
                        </w:tcBorders>
                        <w:shd w:val="clear" w:color="auto" w:fill="auto"/>
                      </w:tcPr>
                      <w:p w14:paraId="7104DF90" w14:textId="3F4DA99A" w:rsidR="006F0BD3" w:rsidRPr="00846EEE" w:rsidRDefault="00E036AA" w:rsidP="006F0BD3">
                        <w:pPr>
                          <w:pStyle w:val="DecimalAligned"/>
                          <w:spacing w:after="0" w:line="240" w:lineRule="auto"/>
                          <w:jc w:val="right"/>
                          <w:rPr>
                            <w:rFonts w:asciiTheme="minorHAnsi" w:hAnsiTheme="minorHAnsi" w:cstheme="minorHAnsi"/>
                            <w:color w:val="000000"/>
                            <w:sz w:val="18"/>
                            <w:szCs w:val="18"/>
                            <w:lang w:bidi="en-US"/>
                          </w:rPr>
                        </w:pPr>
                        <w:r>
                          <w:rPr>
                            <w:rFonts w:asciiTheme="minorHAnsi" w:hAnsiTheme="minorHAnsi" w:cstheme="minorHAnsi"/>
                            <w:color w:val="000000"/>
                            <w:sz w:val="18"/>
                            <w:szCs w:val="18"/>
                            <w:lang w:bidi="en-US"/>
                          </w:rPr>
                          <w:t>(73)</w:t>
                        </w:r>
                      </w:p>
                    </w:tc>
                  </w:tr>
                  <w:tr w:rsidR="006F0BD3" w:rsidRPr="00551D5A" w14:paraId="27C913A2" w14:textId="77777777" w:rsidTr="00997EF7">
                    <w:tc>
                      <w:tcPr>
                        <w:tcW w:w="4857" w:type="dxa"/>
                        <w:tcBorders>
                          <w:top w:val="single" w:sz="4" w:space="0" w:color="auto"/>
                          <w:bottom w:val="double" w:sz="4" w:space="0" w:color="auto"/>
                        </w:tcBorders>
                        <w:shd w:val="clear" w:color="auto" w:fill="auto"/>
                      </w:tcPr>
                      <w:p w14:paraId="4BF0F939" w14:textId="77777777" w:rsidR="006F0BD3" w:rsidRPr="00846EEE" w:rsidRDefault="006F0BD3" w:rsidP="00997EF7">
                        <w:pPr>
                          <w:spacing w:after="0" w:line="240" w:lineRule="auto"/>
                          <w:ind w:hanging="68"/>
                          <w:rPr>
                            <w:rFonts w:asciiTheme="minorHAnsi" w:hAnsiTheme="minorHAnsi" w:cstheme="minorHAnsi"/>
                            <w:color w:val="000000"/>
                            <w:sz w:val="18"/>
                            <w:szCs w:val="18"/>
                            <w:lang w:val="en-US" w:bidi="en-US"/>
                          </w:rPr>
                        </w:pPr>
                      </w:p>
                    </w:tc>
                    <w:tc>
                      <w:tcPr>
                        <w:tcW w:w="1541" w:type="dxa"/>
                        <w:tcBorders>
                          <w:top w:val="single" w:sz="4" w:space="0" w:color="auto"/>
                          <w:bottom w:val="double" w:sz="4" w:space="0" w:color="auto"/>
                        </w:tcBorders>
                        <w:shd w:val="clear" w:color="auto" w:fill="auto"/>
                      </w:tcPr>
                      <w:p w14:paraId="7695E874" w14:textId="27C460FB" w:rsidR="006F0BD3" w:rsidRPr="00846EEE" w:rsidRDefault="001C549A" w:rsidP="006F0BD3">
                        <w:pPr>
                          <w:pStyle w:val="DecimalAligned"/>
                          <w:spacing w:after="0" w:line="240" w:lineRule="auto"/>
                          <w:jc w:val="right"/>
                          <w:rPr>
                            <w:rFonts w:asciiTheme="minorHAnsi" w:hAnsiTheme="minorHAnsi" w:cstheme="minorHAnsi"/>
                            <w:b/>
                            <w:color w:val="000000"/>
                            <w:sz w:val="18"/>
                            <w:szCs w:val="18"/>
                            <w:lang w:bidi="en-US"/>
                          </w:rPr>
                        </w:pPr>
                        <w:r>
                          <w:rPr>
                            <w:rFonts w:asciiTheme="minorHAnsi" w:hAnsiTheme="minorHAnsi" w:cstheme="minorHAnsi"/>
                            <w:b/>
                            <w:color w:val="000000"/>
                            <w:sz w:val="18"/>
                            <w:szCs w:val="18"/>
                            <w:lang w:bidi="en-US"/>
                          </w:rPr>
                          <w:t>11,458</w:t>
                        </w:r>
                      </w:p>
                    </w:tc>
                    <w:tc>
                      <w:tcPr>
                        <w:tcW w:w="1541" w:type="dxa"/>
                        <w:tcBorders>
                          <w:top w:val="single" w:sz="4" w:space="0" w:color="auto"/>
                          <w:bottom w:val="double" w:sz="4" w:space="0" w:color="auto"/>
                        </w:tcBorders>
                      </w:tcPr>
                      <w:p w14:paraId="7003A7CB" w14:textId="219DBBCE" w:rsidR="006F0BD3" w:rsidRPr="00846EEE" w:rsidRDefault="006F0BD3" w:rsidP="006F0BD3">
                        <w:pPr>
                          <w:pStyle w:val="DecimalAligned"/>
                          <w:spacing w:after="0" w:line="240" w:lineRule="auto"/>
                          <w:jc w:val="right"/>
                          <w:rPr>
                            <w:rFonts w:asciiTheme="minorHAnsi" w:hAnsiTheme="minorHAnsi" w:cstheme="minorHAnsi"/>
                            <w:bCs/>
                            <w:color w:val="000000"/>
                            <w:sz w:val="18"/>
                            <w:szCs w:val="18"/>
                            <w:lang w:bidi="en-US"/>
                          </w:rPr>
                        </w:pPr>
                        <w:r w:rsidRPr="00846EEE">
                          <w:rPr>
                            <w:rFonts w:asciiTheme="minorHAnsi" w:hAnsiTheme="minorHAnsi" w:cstheme="minorHAnsi"/>
                            <w:bCs/>
                            <w:color w:val="000000"/>
                            <w:sz w:val="18"/>
                            <w:szCs w:val="18"/>
                            <w:lang w:bidi="en-US"/>
                          </w:rPr>
                          <w:t>10,239</w:t>
                        </w:r>
                      </w:p>
                    </w:tc>
                    <w:tc>
                      <w:tcPr>
                        <w:tcW w:w="1542" w:type="dxa"/>
                        <w:tcBorders>
                          <w:top w:val="single" w:sz="4" w:space="0" w:color="auto"/>
                          <w:bottom w:val="double" w:sz="4" w:space="0" w:color="auto"/>
                        </w:tcBorders>
                        <w:shd w:val="clear" w:color="auto" w:fill="auto"/>
                      </w:tcPr>
                      <w:p w14:paraId="5749081D" w14:textId="761B0C47" w:rsidR="006F0BD3" w:rsidRPr="00846EEE" w:rsidRDefault="00E036AA" w:rsidP="006F0BD3">
                        <w:pPr>
                          <w:pStyle w:val="DecimalAligned"/>
                          <w:spacing w:after="0" w:line="240" w:lineRule="auto"/>
                          <w:jc w:val="right"/>
                          <w:rPr>
                            <w:rFonts w:asciiTheme="minorHAnsi" w:hAnsiTheme="minorHAnsi" w:cstheme="minorHAnsi"/>
                            <w:color w:val="000000"/>
                            <w:sz w:val="18"/>
                            <w:szCs w:val="18"/>
                            <w:lang w:bidi="en-US"/>
                          </w:rPr>
                        </w:pPr>
                        <w:r>
                          <w:rPr>
                            <w:rFonts w:asciiTheme="minorHAnsi" w:hAnsiTheme="minorHAnsi" w:cstheme="minorHAnsi"/>
                            <w:color w:val="000000"/>
                            <w:sz w:val="18"/>
                            <w:szCs w:val="18"/>
                            <w:lang w:bidi="en-US"/>
                          </w:rPr>
                          <w:t>8,144</w:t>
                        </w:r>
                      </w:p>
                    </w:tc>
                  </w:tr>
                  <w:tr w:rsidR="006F0BD3" w:rsidRPr="00551D5A" w14:paraId="3B345A4D" w14:textId="77777777" w:rsidTr="00997EF7">
                    <w:tc>
                      <w:tcPr>
                        <w:tcW w:w="4857" w:type="dxa"/>
                        <w:tcBorders>
                          <w:top w:val="double" w:sz="4" w:space="0" w:color="auto"/>
                          <w:bottom w:val="nil"/>
                        </w:tcBorders>
                        <w:shd w:val="clear" w:color="auto" w:fill="auto"/>
                      </w:tcPr>
                      <w:p w14:paraId="6802F22F" w14:textId="77777777" w:rsidR="006F0BD3" w:rsidRPr="00846EEE" w:rsidRDefault="006F0BD3" w:rsidP="00997EF7">
                        <w:pPr>
                          <w:spacing w:after="0" w:line="240" w:lineRule="auto"/>
                          <w:ind w:hanging="68"/>
                          <w:rPr>
                            <w:rFonts w:asciiTheme="minorHAnsi" w:hAnsiTheme="minorHAnsi" w:cstheme="minorHAnsi"/>
                            <w:color w:val="000000"/>
                            <w:sz w:val="18"/>
                            <w:szCs w:val="18"/>
                            <w:lang w:val="en-US" w:bidi="en-US"/>
                          </w:rPr>
                        </w:pPr>
                      </w:p>
                    </w:tc>
                    <w:tc>
                      <w:tcPr>
                        <w:tcW w:w="1541" w:type="dxa"/>
                        <w:tcBorders>
                          <w:top w:val="double" w:sz="4" w:space="0" w:color="auto"/>
                          <w:bottom w:val="nil"/>
                        </w:tcBorders>
                        <w:shd w:val="clear" w:color="auto" w:fill="auto"/>
                      </w:tcPr>
                      <w:p w14:paraId="5411E817" w14:textId="77777777" w:rsidR="006F0BD3" w:rsidRPr="00846EEE" w:rsidRDefault="006F0BD3" w:rsidP="006F0BD3">
                        <w:pPr>
                          <w:pStyle w:val="DecimalAligned"/>
                          <w:spacing w:after="0" w:line="240" w:lineRule="auto"/>
                          <w:jc w:val="right"/>
                          <w:rPr>
                            <w:rFonts w:asciiTheme="minorHAnsi" w:hAnsiTheme="minorHAnsi" w:cstheme="minorHAnsi"/>
                            <w:b/>
                            <w:color w:val="000000"/>
                            <w:sz w:val="18"/>
                            <w:szCs w:val="18"/>
                            <w:lang w:bidi="en-US"/>
                          </w:rPr>
                        </w:pPr>
                      </w:p>
                    </w:tc>
                    <w:tc>
                      <w:tcPr>
                        <w:tcW w:w="1541" w:type="dxa"/>
                        <w:tcBorders>
                          <w:top w:val="double" w:sz="4" w:space="0" w:color="auto"/>
                          <w:bottom w:val="nil"/>
                        </w:tcBorders>
                      </w:tcPr>
                      <w:p w14:paraId="4E018D3A" w14:textId="77777777" w:rsidR="006F0BD3" w:rsidRPr="00846EEE" w:rsidRDefault="006F0BD3" w:rsidP="006F0BD3">
                        <w:pPr>
                          <w:pStyle w:val="DecimalAligned"/>
                          <w:spacing w:after="0" w:line="240" w:lineRule="auto"/>
                          <w:jc w:val="right"/>
                          <w:rPr>
                            <w:rFonts w:asciiTheme="minorHAnsi" w:hAnsiTheme="minorHAnsi" w:cstheme="minorHAnsi"/>
                            <w:bCs/>
                            <w:color w:val="000000"/>
                            <w:sz w:val="18"/>
                            <w:szCs w:val="18"/>
                            <w:lang w:bidi="en-US"/>
                          </w:rPr>
                        </w:pPr>
                      </w:p>
                    </w:tc>
                    <w:tc>
                      <w:tcPr>
                        <w:tcW w:w="1542" w:type="dxa"/>
                        <w:tcBorders>
                          <w:top w:val="double" w:sz="4" w:space="0" w:color="auto"/>
                          <w:bottom w:val="nil"/>
                        </w:tcBorders>
                        <w:shd w:val="clear" w:color="auto" w:fill="auto"/>
                      </w:tcPr>
                      <w:p w14:paraId="2C93BFDD" w14:textId="77777777" w:rsidR="006F0BD3" w:rsidRPr="00846EEE" w:rsidRDefault="006F0BD3" w:rsidP="006F0BD3">
                        <w:pPr>
                          <w:pStyle w:val="DecimalAligned"/>
                          <w:spacing w:after="0" w:line="240" w:lineRule="auto"/>
                          <w:jc w:val="right"/>
                          <w:rPr>
                            <w:rFonts w:asciiTheme="minorHAnsi" w:hAnsiTheme="minorHAnsi" w:cstheme="minorHAnsi"/>
                            <w:color w:val="000000"/>
                            <w:sz w:val="18"/>
                            <w:szCs w:val="18"/>
                            <w:lang w:bidi="en-US"/>
                          </w:rPr>
                        </w:pPr>
                      </w:p>
                    </w:tc>
                  </w:tr>
                  <w:tr w:rsidR="006F0BD3" w:rsidRPr="00551D5A" w14:paraId="131AF1A9" w14:textId="77777777" w:rsidTr="00997EF7">
                    <w:tc>
                      <w:tcPr>
                        <w:tcW w:w="4857" w:type="dxa"/>
                        <w:tcBorders>
                          <w:top w:val="nil"/>
                          <w:bottom w:val="double" w:sz="4" w:space="0" w:color="auto"/>
                        </w:tcBorders>
                        <w:shd w:val="clear" w:color="auto" w:fill="auto"/>
                      </w:tcPr>
                      <w:p w14:paraId="62790DB8" w14:textId="77777777" w:rsidR="006F0BD3" w:rsidRPr="00846EEE" w:rsidRDefault="006F0BD3" w:rsidP="00997EF7">
                        <w:pPr>
                          <w:spacing w:after="0" w:line="240" w:lineRule="auto"/>
                          <w:ind w:hanging="68"/>
                          <w:rPr>
                            <w:rFonts w:asciiTheme="minorHAnsi" w:hAnsiTheme="minorHAnsi" w:cstheme="minorHAnsi"/>
                            <w:b/>
                            <w:color w:val="000000"/>
                            <w:sz w:val="18"/>
                            <w:szCs w:val="18"/>
                            <w:lang w:val="en-US" w:bidi="en-US"/>
                          </w:rPr>
                        </w:pPr>
                        <w:r w:rsidRPr="00846EEE">
                          <w:rPr>
                            <w:rFonts w:asciiTheme="minorHAnsi" w:hAnsiTheme="minorHAnsi" w:cstheme="minorHAnsi"/>
                            <w:b/>
                            <w:color w:val="000000"/>
                            <w:sz w:val="18"/>
                            <w:szCs w:val="18"/>
                            <w:lang w:val="en-US" w:bidi="en-US"/>
                          </w:rPr>
                          <w:t>Total borrowings</w:t>
                        </w:r>
                      </w:p>
                    </w:tc>
                    <w:tc>
                      <w:tcPr>
                        <w:tcW w:w="1541" w:type="dxa"/>
                        <w:tcBorders>
                          <w:top w:val="nil"/>
                          <w:bottom w:val="double" w:sz="4" w:space="0" w:color="auto"/>
                        </w:tcBorders>
                        <w:shd w:val="clear" w:color="auto" w:fill="auto"/>
                      </w:tcPr>
                      <w:p w14:paraId="59102C33" w14:textId="22311DE4" w:rsidR="006F0BD3" w:rsidRPr="00846EEE" w:rsidRDefault="001C549A" w:rsidP="006F0BD3">
                        <w:pPr>
                          <w:pStyle w:val="DecimalAligned"/>
                          <w:spacing w:after="0" w:line="240" w:lineRule="auto"/>
                          <w:jc w:val="right"/>
                          <w:rPr>
                            <w:rFonts w:asciiTheme="minorHAnsi" w:hAnsiTheme="minorHAnsi" w:cstheme="minorHAnsi"/>
                            <w:b/>
                            <w:color w:val="000000"/>
                            <w:sz w:val="18"/>
                            <w:szCs w:val="18"/>
                            <w:lang w:bidi="en-US"/>
                          </w:rPr>
                        </w:pPr>
                        <w:r>
                          <w:rPr>
                            <w:rFonts w:asciiTheme="minorHAnsi" w:hAnsiTheme="minorHAnsi" w:cstheme="minorHAnsi"/>
                            <w:b/>
                            <w:color w:val="000000"/>
                            <w:sz w:val="18"/>
                            <w:szCs w:val="18"/>
                            <w:lang w:bidi="en-US"/>
                          </w:rPr>
                          <w:t>24,392</w:t>
                        </w:r>
                      </w:p>
                    </w:tc>
                    <w:tc>
                      <w:tcPr>
                        <w:tcW w:w="1541" w:type="dxa"/>
                        <w:tcBorders>
                          <w:top w:val="nil"/>
                          <w:bottom w:val="double" w:sz="4" w:space="0" w:color="auto"/>
                        </w:tcBorders>
                      </w:tcPr>
                      <w:p w14:paraId="5C7C90FE" w14:textId="31F5F73E" w:rsidR="006F0BD3" w:rsidRPr="00846EEE" w:rsidRDefault="006F0BD3" w:rsidP="006F0BD3">
                        <w:pPr>
                          <w:pStyle w:val="DecimalAligned"/>
                          <w:spacing w:after="0" w:line="240" w:lineRule="auto"/>
                          <w:jc w:val="right"/>
                          <w:rPr>
                            <w:rFonts w:asciiTheme="minorHAnsi" w:hAnsiTheme="minorHAnsi" w:cstheme="minorHAnsi"/>
                            <w:bCs/>
                            <w:color w:val="000000"/>
                            <w:sz w:val="18"/>
                            <w:szCs w:val="18"/>
                            <w:lang w:bidi="en-US"/>
                          </w:rPr>
                        </w:pPr>
                        <w:r w:rsidRPr="00846EEE">
                          <w:rPr>
                            <w:rFonts w:asciiTheme="minorHAnsi" w:hAnsiTheme="minorHAnsi" w:cstheme="minorHAnsi"/>
                            <w:bCs/>
                            <w:color w:val="000000"/>
                            <w:sz w:val="18"/>
                            <w:szCs w:val="18"/>
                            <w:lang w:bidi="en-US"/>
                          </w:rPr>
                          <w:t>30,330</w:t>
                        </w:r>
                      </w:p>
                    </w:tc>
                    <w:tc>
                      <w:tcPr>
                        <w:tcW w:w="1542" w:type="dxa"/>
                        <w:tcBorders>
                          <w:top w:val="nil"/>
                          <w:bottom w:val="double" w:sz="4" w:space="0" w:color="auto"/>
                        </w:tcBorders>
                        <w:shd w:val="clear" w:color="auto" w:fill="auto"/>
                      </w:tcPr>
                      <w:p w14:paraId="31D352C4" w14:textId="2C3C8E76" w:rsidR="006F0BD3" w:rsidRPr="00846EEE" w:rsidRDefault="00E036AA" w:rsidP="006F0BD3">
                        <w:pPr>
                          <w:pStyle w:val="DecimalAligned"/>
                          <w:spacing w:after="0" w:line="240" w:lineRule="auto"/>
                          <w:jc w:val="right"/>
                          <w:rPr>
                            <w:rFonts w:asciiTheme="minorHAnsi" w:hAnsiTheme="minorHAnsi" w:cstheme="minorHAnsi"/>
                            <w:color w:val="000000"/>
                            <w:sz w:val="18"/>
                            <w:szCs w:val="18"/>
                            <w:lang w:bidi="en-US"/>
                          </w:rPr>
                        </w:pPr>
                        <w:r>
                          <w:rPr>
                            <w:rFonts w:asciiTheme="minorHAnsi" w:hAnsiTheme="minorHAnsi" w:cstheme="minorHAnsi"/>
                            <w:color w:val="000000"/>
                            <w:sz w:val="18"/>
                            <w:szCs w:val="18"/>
                            <w:lang w:bidi="en-US"/>
                          </w:rPr>
                          <w:t>30,458</w:t>
                        </w:r>
                      </w:p>
                    </w:tc>
                  </w:tr>
                  <w:tr w:rsidR="00781C85" w:rsidRPr="00551D5A" w14:paraId="236737E5" w14:textId="77777777" w:rsidTr="00997EF7">
                    <w:tc>
                      <w:tcPr>
                        <w:tcW w:w="4857" w:type="dxa"/>
                        <w:tcBorders>
                          <w:top w:val="double" w:sz="4" w:space="0" w:color="auto"/>
                          <w:bottom w:val="nil"/>
                        </w:tcBorders>
                        <w:shd w:val="clear" w:color="auto" w:fill="auto"/>
                      </w:tcPr>
                      <w:p w14:paraId="0BB5ACAD" w14:textId="77777777" w:rsidR="00781C85" w:rsidRPr="00846EEE" w:rsidRDefault="00781C85" w:rsidP="00997EF7">
                        <w:pPr>
                          <w:spacing w:after="0" w:line="240" w:lineRule="auto"/>
                          <w:ind w:hanging="68"/>
                          <w:rPr>
                            <w:rFonts w:asciiTheme="minorHAnsi" w:hAnsiTheme="minorHAnsi" w:cstheme="minorHAnsi"/>
                            <w:color w:val="000000"/>
                            <w:sz w:val="18"/>
                            <w:szCs w:val="18"/>
                            <w:lang w:val="en-US" w:bidi="en-US"/>
                          </w:rPr>
                        </w:pPr>
                      </w:p>
                    </w:tc>
                    <w:tc>
                      <w:tcPr>
                        <w:tcW w:w="1541" w:type="dxa"/>
                        <w:tcBorders>
                          <w:top w:val="double" w:sz="4" w:space="0" w:color="auto"/>
                          <w:bottom w:val="nil"/>
                        </w:tcBorders>
                        <w:shd w:val="clear" w:color="auto" w:fill="auto"/>
                      </w:tcPr>
                      <w:p w14:paraId="53AE18E0" w14:textId="77777777" w:rsidR="00781C85" w:rsidRPr="00846EEE" w:rsidRDefault="00781C85" w:rsidP="0047121F">
                        <w:pPr>
                          <w:pStyle w:val="DecimalAligned"/>
                          <w:spacing w:after="0" w:line="240" w:lineRule="auto"/>
                          <w:jc w:val="right"/>
                          <w:rPr>
                            <w:rFonts w:asciiTheme="minorHAnsi" w:hAnsiTheme="minorHAnsi" w:cstheme="minorHAnsi"/>
                            <w:b/>
                            <w:color w:val="000000"/>
                            <w:sz w:val="18"/>
                            <w:szCs w:val="18"/>
                            <w:lang w:bidi="en-US"/>
                          </w:rPr>
                        </w:pPr>
                      </w:p>
                    </w:tc>
                    <w:tc>
                      <w:tcPr>
                        <w:tcW w:w="1541" w:type="dxa"/>
                        <w:tcBorders>
                          <w:top w:val="double" w:sz="4" w:space="0" w:color="auto"/>
                          <w:bottom w:val="nil"/>
                        </w:tcBorders>
                      </w:tcPr>
                      <w:p w14:paraId="58FD33C6" w14:textId="77777777" w:rsidR="00781C85" w:rsidRPr="00846EEE" w:rsidRDefault="00781C85" w:rsidP="0047121F">
                        <w:pPr>
                          <w:pStyle w:val="DecimalAligned"/>
                          <w:spacing w:after="0" w:line="240" w:lineRule="auto"/>
                          <w:jc w:val="right"/>
                          <w:rPr>
                            <w:rFonts w:asciiTheme="minorHAnsi" w:hAnsiTheme="minorHAnsi" w:cstheme="minorHAnsi"/>
                            <w:color w:val="000000"/>
                            <w:sz w:val="18"/>
                            <w:szCs w:val="18"/>
                            <w:lang w:bidi="en-US"/>
                          </w:rPr>
                        </w:pPr>
                      </w:p>
                    </w:tc>
                    <w:tc>
                      <w:tcPr>
                        <w:tcW w:w="1542" w:type="dxa"/>
                        <w:tcBorders>
                          <w:top w:val="double" w:sz="4" w:space="0" w:color="auto"/>
                          <w:bottom w:val="nil"/>
                        </w:tcBorders>
                        <w:shd w:val="clear" w:color="auto" w:fill="auto"/>
                      </w:tcPr>
                      <w:p w14:paraId="04B80A13" w14:textId="77777777" w:rsidR="00781C85" w:rsidRPr="00846EEE" w:rsidRDefault="00781C85" w:rsidP="0047121F">
                        <w:pPr>
                          <w:pStyle w:val="DecimalAligned"/>
                          <w:spacing w:after="0" w:line="240" w:lineRule="auto"/>
                          <w:jc w:val="right"/>
                          <w:rPr>
                            <w:rFonts w:asciiTheme="minorHAnsi" w:hAnsiTheme="minorHAnsi" w:cstheme="minorHAnsi"/>
                            <w:color w:val="000000"/>
                            <w:sz w:val="18"/>
                            <w:szCs w:val="18"/>
                            <w:lang w:bidi="en-US"/>
                          </w:rPr>
                        </w:pPr>
                      </w:p>
                    </w:tc>
                  </w:tr>
                  <w:tr w:rsidR="00781C85" w:rsidRPr="00551D5A" w14:paraId="7B9A51EC" w14:textId="77777777" w:rsidTr="00997EF7">
                    <w:tc>
                      <w:tcPr>
                        <w:tcW w:w="4857" w:type="dxa"/>
                        <w:tcBorders>
                          <w:top w:val="nil"/>
                          <w:bottom w:val="nil"/>
                        </w:tcBorders>
                        <w:shd w:val="clear" w:color="auto" w:fill="auto"/>
                      </w:tcPr>
                      <w:p w14:paraId="49D8207C" w14:textId="77777777" w:rsidR="00781C85" w:rsidRPr="00846EEE" w:rsidRDefault="00781C85" w:rsidP="00997EF7">
                        <w:pPr>
                          <w:spacing w:after="0" w:line="240" w:lineRule="auto"/>
                          <w:ind w:left="-68"/>
                          <w:rPr>
                            <w:rFonts w:asciiTheme="minorHAnsi" w:hAnsiTheme="minorHAnsi" w:cstheme="minorHAnsi"/>
                            <w:color w:val="000000"/>
                            <w:sz w:val="18"/>
                            <w:szCs w:val="18"/>
                            <w:lang w:val="en-US" w:bidi="en-US"/>
                          </w:rPr>
                        </w:pPr>
                        <w:r w:rsidRPr="00846EEE">
                          <w:rPr>
                            <w:rFonts w:asciiTheme="minorHAnsi" w:hAnsiTheme="minorHAnsi" w:cstheme="minorHAnsi"/>
                            <w:bCs/>
                            <w:color w:val="000000"/>
                            <w:sz w:val="18"/>
                            <w:szCs w:val="18"/>
                            <w:lang w:val="en-US" w:bidi="en-US"/>
                          </w:rPr>
                          <w:t>The earliest that lenders of the above borrowings require repayment is as follows:</w:t>
                        </w:r>
                      </w:p>
                    </w:tc>
                    <w:tc>
                      <w:tcPr>
                        <w:tcW w:w="1541" w:type="dxa"/>
                        <w:tcBorders>
                          <w:top w:val="nil"/>
                          <w:bottom w:val="nil"/>
                        </w:tcBorders>
                        <w:shd w:val="clear" w:color="auto" w:fill="auto"/>
                      </w:tcPr>
                      <w:p w14:paraId="03631C27" w14:textId="77777777" w:rsidR="00781C85" w:rsidRPr="00846EEE" w:rsidRDefault="00781C85" w:rsidP="0047121F">
                        <w:pPr>
                          <w:pStyle w:val="DecimalAligned"/>
                          <w:spacing w:after="0" w:line="240" w:lineRule="auto"/>
                          <w:jc w:val="right"/>
                          <w:rPr>
                            <w:rFonts w:asciiTheme="minorHAnsi" w:hAnsiTheme="minorHAnsi" w:cstheme="minorHAnsi"/>
                            <w:b/>
                            <w:color w:val="000000"/>
                            <w:sz w:val="18"/>
                            <w:szCs w:val="18"/>
                            <w:lang w:bidi="en-US"/>
                          </w:rPr>
                        </w:pPr>
                      </w:p>
                    </w:tc>
                    <w:tc>
                      <w:tcPr>
                        <w:tcW w:w="1541" w:type="dxa"/>
                        <w:tcBorders>
                          <w:top w:val="nil"/>
                          <w:bottom w:val="nil"/>
                        </w:tcBorders>
                      </w:tcPr>
                      <w:p w14:paraId="0C3BB540" w14:textId="77777777" w:rsidR="00781C85" w:rsidRPr="00846EEE" w:rsidRDefault="00781C85" w:rsidP="0047121F">
                        <w:pPr>
                          <w:pStyle w:val="DecimalAligned"/>
                          <w:spacing w:after="0" w:line="240" w:lineRule="auto"/>
                          <w:jc w:val="right"/>
                          <w:rPr>
                            <w:rFonts w:asciiTheme="minorHAnsi" w:hAnsiTheme="minorHAnsi" w:cstheme="minorHAnsi"/>
                            <w:color w:val="000000"/>
                            <w:sz w:val="18"/>
                            <w:szCs w:val="18"/>
                            <w:lang w:bidi="en-US"/>
                          </w:rPr>
                        </w:pPr>
                      </w:p>
                    </w:tc>
                    <w:tc>
                      <w:tcPr>
                        <w:tcW w:w="1542" w:type="dxa"/>
                        <w:tcBorders>
                          <w:top w:val="nil"/>
                          <w:bottom w:val="nil"/>
                        </w:tcBorders>
                        <w:shd w:val="clear" w:color="auto" w:fill="auto"/>
                      </w:tcPr>
                      <w:p w14:paraId="69A50AC0" w14:textId="77777777" w:rsidR="00781C85" w:rsidRPr="00846EEE" w:rsidRDefault="00781C85" w:rsidP="0047121F">
                        <w:pPr>
                          <w:pStyle w:val="DecimalAligned"/>
                          <w:spacing w:after="0" w:line="240" w:lineRule="auto"/>
                          <w:jc w:val="right"/>
                          <w:rPr>
                            <w:rFonts w:asciiTheme="minorHAnsi" w:hAnsiTheme="minorHAnsi" w:cstheme="minorHAnsi"/>
                            <w:color w:val="000000"/>
                            <w:sz w:val="18"/>
                            <w:szCs w:val="18"/>
                            <w:lang w:bidi="en-US"/>
                          </w:rPr>
                        </w:pPr>
                      </w:p>
                    </w:tc>
                  </w:tr>
                  <w:tr w:rsidR="006F0BD3" w:rsidRPr="00551D5A" w14:paraId="66480B60" w14:textId="77777777" w:rsidTr="00997EF7">
                    <w:tc>
                      <w:tcPr>
                        <w:tcW w:w="4857" w:type="dxa"/>
                        <w:tcBorders>
                          <w:top w:val="nil"/>
                          <w:bottom w:val="single" w:sz="4" w:space="0" w:color="auto"/>
                        </w:tcBorders>
                        <w:shd w:val="clear" w:color="auto" w:fill="auto"/>
                      </w:tcPr>
                      <w:p w14:paraId="6A45B355" w14:textId="77777777" w:rsidR="006F0BD3" w:rsidRPr="00846EEE" w:rsidRDefault="006F0BD3" w:rsidP="00997EF7">
                        <w:pPr>
                          <w:spacing w:after="0" w:line="240" w:lineRule="auto"/>
                          <w:ind w:hanging="68"/>
                          <w:rPr>
                            <w:rFonts w:asciiTheme="minorHAnsi" w:hAnsiTheme="minorHAnsi" w:cstheme="minorHAnsi"/>
                            <w:bCs/>
                            <w:color w:val="000000"/>
                            <w:sz w:val="18"/>
                            <w:szCs w:val="18"/>
                            <w:lang w:val="en-US" w:bidi="en-US"/>
                          </w:rPr>
                        </w:pPr>
                        <w:r w:rsidRPr="00846EEE">
                          <w:rPr>
                            <w:rFonts w:asciiTheme="minorHAnsi" w:hAnsiTheme="minorHAnsi" w:cstheme="minorHAnsi"/>
                            <w:bCs/>
                            <w:color w:val="000000"/>
                            <w:sz w:val="18"/>
                            <w:szCs w:val="18"/>
                            <w:lang w:val="en-US" w:bidi="en-US"/>
                          </w:rPr>
                          <w:t>In less than one year</w:t>
                        </w:r>
                      </w:p>
                      <w:p w14:paraId="0EFDB39A" w14:textId="77777777" w:rsidR="006F0BD3" w:rsidRPr="00846EEE" w:rsidRDefault="006F0BD3" w:rsidP="00997EF7">
                        <w:pPr>
                          <w:spacing w:after="0" w:line="240" w:lineRule="auto"/>
                          <w:ind w:hanging="68"/>
                          <w:rPr>
                            <w:rFonts w:asciiTheme="minorHAnsi" w:hAnsiTheme="minorHAnsi" w:cstheme="minorHAnsi"/>
                            <w:bCs/>
                            <w:color w:val="000000"/>
                            <w:sz w:val="18"/>
                            <w:szCs w:val="18"/>
                            <w:lang w:val="en-US" w:bidi="en-US"/>
                          </w:rPr>
                        </w:pPr>
                        <w:r w:rsidRPr="00846EEE">
                          <w:rPr>
                            <w:rFonts w:asciiTheme="minorHAnsi" w:hAnsiTheme="minorHAnsi" w:cstheme="minorHAnsi"/>
                            <w:bCs/>
                            <w:color w:val="000000"/>
                            <w:sz w:val="18"/>
                            <w:szCs w:val="18"/>
                            <w:lang w:val="en-US" w:bidi="en-US"/>
                          </w:rPr>
                          <w:t>Between one and two years</w:t>
                        </w:r>
                      </w:p>
                      <w:p w14:paraId="35DFC7C1" w14:textId="77777777" w:rsidR="006F0BD3" w:rsidRPr="00846EEE" w:rsidRDefault="006F0BD3" w:rsidP="00997EF7">
                        <w:pPr>
                          <w:spacing w:after="0" w:line="240" w:lineRule="auto"/>
                          <w:ind w:hanging="68"/>
                          <w:rPr>
                            <w:rFonts w:asciiTheme="minorHAnsi" w:hAnsiTheme="minorHAnsi" w:cstheme="minorHAnsi"/>
                            <w:bCs/>
                            <w:color w:val="000000"/>
                            <w:sz w:val="18"/>
                            <w:szCs w:val="18"/>
                            <w:lang w:val="en-US" w:bidi="en-US"/>
                          </w:rPr>
                        </w:pPr>
                        <w:r w:rsidRPr="00846EEE">
                          <w:rPr>
                            <w:rFonts w:asciiTheme="minorHAnsi" w:hAnsiTheme="minorHAnsi" w:cstheme="minorHAnsi"/>
                            <w:bCs/>
                            <w:color w:val="000000"/>
                            <w:sz w:val="18"/>
                            <w:szCs w:val="18"/>
                            <w:lang w:val="en-US" w:bidi="en-US"/>
                          </w:rPr>
                          <w:t>Between two and five years</w:t>
                        </w:r>
                      </w:p>
                      <w:p w14:paraId="64FF026A" w14:textId="77777777" w:rsidR="006F0BD3" w:rsidRPr="00846EEE" w:rsidRDefault="006F0BD3" w:rsidP="00997EF7">
                        <w:pPr>
                          <w:spacing w:after="0" w:line="240" w:lineRule="auto"/>
                          <w:ind w:hanging="68"/>
                          <w:rPr>
                            <w:rFonts w:asciiTheme="minorHAnsi" w:hAnsiTheme="minorHAnsi" w:cstheme="minorHAnsi"/>
                            <w:color w:val="000000"/>
                            <w:sz w:val="18"/>
                            <w:szCs w:val="18"/>
                            <w:lang w:val="en-US" w:bidi="en-US"/>
                          </w:rPr>
                        </w:pPr>
                        <w:r w:rsidRPr="00846EEE">
                          <w:rPr>
                            <w:rFonts w:asciiTheme="minorHAnsi" w:hAnsiTheme="minorHAnsi" w:cstheme="minorHAnsi"/>
                            <w:bCs/>
                            <w:color w:val="000000"/>
                            <w:sz w:val="18"/>
                            <w:szCs w:val="18"/>
                            <w:lang w:val="en-US" w:bidi="en-US"/>
                          </w:rPr>
                          <w:t xml:space="preserve">Less: </w:t>
                        </w:r>
                        <w:proofErr w:type="spellStart"/>
                        <w:r w:rsidRPr="00846EEE">
                          <w:rPr>
                            <w:rFonts w:asciiTheme="minorHAnsi" w:hAnsiTheme="minorHAnsi" w:cstheme="minorHAnsi"/>
                            <w:bCs/>
                            <w:color w:val="000000"/>
                            <w:sz w:val="18"/>
                            <w:szCs w:val="18"/>
                            <w:lang w:val="en-US" w:bidi="en-US"/>
                          </w:rPr>
                          <w:t>Unamortised</w:t>
                        </w:r>
                        <w:proofErr w:type="spellEnd"/>
                        <w:r w:rsidRPr="00846EEE">
                          <w:rPr>
                            <w:rFonts w:asciiTheme="minorHAnsi" w:hAnsiTheme="minorHAnsi" w:cstheme="minorHAnsi"/>
                            <w:bCs/>
                            <w:color w:val="000000"/>
                            <w:sz w:val="18"/>
                            <w:szCs w:val="18"/>
                            <w:lang w:val="en-US" w:bidi="en-US"/>
                          </w:rPr>
                          <w:t xml:space="preserve"> debt issue cost</w:t>
                        </w:r>
                      </w:p>
                    </w:tc>
                    <w:tc>
                      <w:tcPr>
                        <w:tcW w:w="1541" w:type="dxa"/>
                        <w:tcBorders>
                          <w:top w:val="nil"/>
                          <w:bottom w:val="single" w:sz="4" w:space="0" w:color="auto"/>
                        </w:tcBorders>
                        <w:shd w:val="clear" w:color="auto" w:fill="auto"/>
                      </w:tcPr>
                      <w:p w14:paraId="767A7AC2" w14:textId="56BBC35A" w:rsidR="006F0BD3" w:rsidRDefault="001C549A" w:rsidP="006F0BD3">
                        <w:pPr>
                          <w:spacing w:after="0" w:line="240" w:lineRule="auto"/>
                          <w:jc w:val="right"/>
                          <w:rPr>
                            <w:rStyle w:val="SubtleEmphasis"/>
                            <w:rFonts w:asciiTheme="minorHAnsi" w:hAnsiTheme="minorHAnsi" w:cstheme="minorHAnsi"/>
                            <w:b/>
                            <w:bCs/>
                            <w:i w:val="0"/>
                            <w:color w:val="000000"/>
                            <w:sz w:val="18"/>
                            <w:szCs w:val="18"/>
                            <w:lang w:bidi="en-US"/>
                          </w:rPr>
                        </w:pPr>
                        <w:r>
                          <w:rPr>
                            <w:rStyle w:val="SubtleEmphasis"/>
                            <w:rFonts w:asciiTheme="minorHAnsi" w:hAnsiTheme="minorHAnsi" w:cstheme="minorHAnsi"/>
                            <w:b/>
                            <w:bCs/>
                            <w:i w:val="0"/>
                            <w:color w:val="000000"/>
                            <w:sz w:val="18"/>
                            <w:szCs w:val="18"/>
                            <w:lang w:bidi="en-US"/>
                          </w:rPr>
                          <w:t>1</w:t>
                        </w:r>
                        <w:r w:rsidR="00E036AA">
                          <w:rPr>
                            <w:rStyle w:val="SubtleEmphasis"/>
                            <w:rFonts w:asciiTheme="minorHAnsi" w:hAnsiTheme="minorHAnsi" w:cstheme="minorHAnsi"/>
                            <w:b/>
                            <w:bCs/>
                            <w:i w:val="0"/>
                            <w:color w:val="000000"/>
                            <w:sz w:val="18"/>
                            <w:szCs w:val="18"/>
                            <w:lang w:bidi="en-US"/>
                          </w:rPr>
                          <w:t>3,032</w:t>
                        </w:r>
                      </w:p>
                      <w:p w14:paraId="2C583E30" w14:textId="7D628532" w:rsidR="001C549A" w:rsidRDefault="00A13EC0" w:rsidP="006F0BD3">
                        <w:pPr>
                          <w:spacing w:after="0" w:line="240" w:lineRule="auto"/>
                          <w:jc w:val="right"/>
                          <w:rPr>
                            <w:rStyle w:val="SubtleEmphasis"/>
                            <w:rFonts w:asciiTheme="minorHAnsi" w:hAnsiTheme="minorHAnsi" w:cstheme="minorHAnsi"/>
                            <w:b/>
                            <w:bCs/>
                            <w:i w:val="0"/>
                            <w:color w:val="000000"/>
                            <w:sz w:val="18"/>
                            <w:szCs w:val="18"/>
                            <w:lang w:bidi="en-US"/>
                          </w:rPr>
                        </w:pPr>
                        <w:r>
                          <w:rPr>
                            <w:rStyle w:val="SubtleEmphasis"/>
                            <w:rFonts w:asciiTheme="minorHAnsi" w:hAnsiTheme="minorHAnsi" w:cstheme="minorHAnsi"/>
                            <w:b/>
                            <w:bCs/>
                            <w:i w:val="0"/>
                            <w:color w:val="000000"/>
                            <w:sz w:val="18"/>
                            <w:szCs w:val="18"/>
                            <w:lang w:bidi="en-US"/>
                          </w:rPr>
                          <w:t>11,500</w:t>
                        </w:r>
                      </w:p>
                      <w:p w14:paraId="01A4B297" w14:textId="479CC6C0" w:rsidR="001C549A" w:rsidRDefault="00A13EC0" w:rsidP="006F0BD3">
                        <w:pPr>
                          <w:spacing w:after="0" w:line="240" w:lineRule="auto"/>
                          <w:jc w:val="right"/>
                          <w:rPr>
                            <w:rStyle w:val="SubtleEmphasis"/>
                            <w:rFonts w:asciiTheme="minorHAnsi" w:hAnsiTheme="minorHAnsi" w:cstheme="minorHAnsi"/>
                            <w:b/>
                            <w:bCs/>
                            <w:i w:val="0"/>
                            <w:color w:val="000000"/>
                            <w:sz w:val="18"/>
                            <w:szCs w:val="18"/>
                            <w:lang w:bidi="en-US"/>
                          </w:rPr>
                        </w:pPr>
                        <w:r>
                          <w:rPr>
                            <w:rStyle w:val="SubtleEmphasis"/>
                            <w:rFonts w:asciiTheme="minorHAnsi" w:hAnsiTheme="minorHAnsi" w:cstheme="minorHAnsi"/>
                            <w:b/>
                            <w:bCs/>
                            <w:i w:val="0"/>
                            <w:color w:val="000000"/>
                            <w:sz w:val="18"/>
                            <w:szCs w:val="18"/>
                            <w:lang w:bidi="en-US"/>
                          </w:rPr>
                          <w:t>-</w:t>
                        </w:r>
                      </w:p>
                      <w:p w14:paraId="27001C51" w14:textId="01011BE0" w:rsidR="001C549A" w:rsidRPr="00846EEE" w:rsidRDefault="00E036AA" w:rsidP="006F0BD3">
                        <w:pPr>
                          <w:spacing w:after="0" w:line="240" w:lineRule="auto"/>
                          <w:jc w:val="right"/>
                          <w:rPr>
                            <w:rStyle w:val="SubtleEmphasis"/>
                            <w:rFonts w:asciiTheme="minorHAnsi" w:hAnsiTheme="minorHAnsi" w:cstheme="minorHAnsi"/>
                            <w:b/>
                            <w:bCs/>
                            <w:i w:val="0"/>
                            <w:color w:val="000000"/>
                            <w:sz w:val="18"/>
                            <w:szCs w:val="18"/>
                            <w:lang w:bidi="en-US"/>
                          </w:rPr>
                        </w:pPr>
                        <w:r>
                          <w:rPr>
                            <w:rStyle w:val="SubtleEmphasis"/>
                            <w:rFonts w:asciiTheme="minorHAnsi" w:hAnsiTheme="minorHAnsi" w:cstheme="minorHAnsi"/>
                            <w:b/>
                            <w:bCs/>
                            <w:i w:val="0"/>
                            <w:color w:val="000000"/>
                            <w:sz w:val="18"/>
                            <w:szCs w:val="18"/>
                            <w:lang w:bidi="en-US"/>
                          </w:rPr>
                          <w:t>(140)</w:t>
                        </w:r>
                      </w:p>
                    </w:tc>
                    <w:tc>
                      <w:tcPr>
                        <w:tcW w:w="1541" w:type="dxa"/>
                        <w:tcBorders>
                          <w:top w:val="nil"/>
                          <w:bottom w:val="single" w:sz="4" w:space="0" w:color="auto"/>
                        </w:tcBorders>
                      </w:tcPr>
                      <w:p w14:paraId="63025F03" w14:textId="77777777" w:rsidR="006F0BD3" w:rsidRPr="00846EEE" w:rsidRDefault="006F0BD3" w:rsidP="006F0BD3">
                        <w:pPr>
                          <w:spacing w:after="0" w:line="240" w:lineRule="auto"/>
                          <w:jc w:val="right"/>
                          <w:rPr>
                            <w:rStyle w:val="SubtleEmphasis"/>
                            <w:rFonts w:asciiTheme="minorHAnsi" w:hAnsiTheme="minorHAnsi" w:cstheme="minorHAnsi"/>
                            <w:i w:val="0"/>
                            <w:color w:val="000000"/>
                            <w:sz w:val="18"/>
                            <w:szCs w:val="18"/>
                            <w:lang w:bidi="en-US"/>
                          </w:rPr>
                        </w:pPr>
                        <w:r w:rsidRPr="00846EEE">
                          <w:rPr>
                            <w:rStyle w:val="SubtleEmphasis"/>
                            <w:rFonts w:asciiTheme="minorHAnsi" w:hAnsiTheme="minorHAnsi" w:cstheme="minorHAnsi"/>
                            <w:i w:val="0"/>
                            <w:color w:val="000000"/>
                            <w:sz w:val="18"/>
                            <w:szCs w:val="18"/>
                            <w:lang w:bidi="en-US"/>
                          </w:rPr>
                          <w:t>20,181</w:t>
                        </w:r>
                      </w:p>
                      <w:p w14:paraId="6D03E535" w14:textId="77777777" w:rsidR="006F0BD3" w:rsidRPr="00846EEE" w:rsidRDefault="006F0BD3" w:rsidP="006F0BD3">
                        <w:pPr>
                          <w:spacing w:after="0" w:line="240" w:lineRule="auto"/>
                          <w:jc w:val="right"/>
                          <w:rPr>
                            <w:rStyle w:val="SubtleEmphasis"/>
                            <w:rFonts w:asciiTheme="minorHAnsi" w:hAnsiTheme="minorHAnsi" w:cstheme="minorHAnsi"/>
                            <w:i w:val="0"/>
                            <w:color w:val="000000"/>
                            <w:sz w:val="18"/>
                            <w:szCs w:val="18"/>
                            <w:lang w:bidi="en-US"/>
                          </w:rPr>
                        </w:pPr>
                        <w:r w:rsidRPr="00846EEE">
                          <w:rPr>
                            <w:rStyle w:val="SubtleEmphasis"/>
                            <w:rFonts w:asciiTheme="minorHAnsi" w:hAnsiTheme="minorHAnsi" w:cstheme="minorHAnsi"/>
                            <w:i w:val="0"/>
                            <w:color w:val="000000"/>
                            <w:sz w:val="18"/>
                            <w:szCs w:val="18"/>
                            <w:lang w:bidi="en-US"/>
                          </w:rPr>
                          <w:t>2,000</w:t>
                        </w:r>
                      </w:p>
                      <w:p w14:paraId="497D0A67" w14:textId="77777777" w:rsidR="006F0BD3" w:rsidRPr="00846EEE" w:rsidRDefault="006F0BD3" w:rsidP="006F0BD3">
                        <w:pPr>
                          <w:spacing w:after="0" w:line="240" w:lineRule="auto"/>
                          <w:jc w:val="right"/>
                          <w:rPr>
                            <w:rStyle w:val="SubtleEmphasis"/>
                            <w:rFonts w:asciiTheme="minorHAnsi" w:hAnsiTheme="minorHAnsi" w:cstheme="minorHAnsi"/>
                            <w:i w:val="0"/>
                            <w:color w:val="000000"/>
                            <w:sz w:val="18"/>
                            <w:szCs w:val="18"/>
                            <w:lang w:bidi="en-US"/>
                          </w:rPr>
                        </w:pPr>
                        <w:r w:rsidRPr="00846EEE">
                          <w:rPr>
                            <w:rStyle w:val="SubtleEmphasis"/>
                            <w:rFonts w:asciiTheme="minorHAnsi" w:hAnsiTheme="minorHAnsi" w:cstheme="minorHAnsi"/>
                            <w:i w:val="0"/>
                            <w:color w:val="000000"/>
                            <w:sz w:val="18"/>
                            <w:szCs w:val="18"/>
                            <w:lang w:bidi="en-US"/>
                          </w:rPr>
                          <w:t>8,343</w:t>
                        </w:r>
                      </w:p>
                      <w:p w14:paraId="267C794E" w14:textId="166C56E8" w:rsidR="006F0BD3" w:rsidRPr="00846EEE" w:rsidRDefault="006F0BD3" w:rsidP="006F0BD3">
                        <w:pPr>
                          <w:spacing w:after="0" w:line="240" w:lineRule="auto"/>
                          <w:jc w:val="right"/>
                          <w:rPr>
                            <w:rStyle w:val="SubtleEmphasis"/>
                            <w:rFonts w:asciiTheme="minorHAnsi" w:hAnsiTheme="minorHAnsi" w:cstheme="minorHAnsi"/>
                            <w:i w:val="0"/>
                            <w:color w:val="000000"/>
                            <w:sz w:val="18"/>
                            <w:szCs w:val="18"/>
                            <w:lang w:bidi="en-US"/>
                          </w:rPr>
                        </w:pPr>
                        <w:r w:rsidRPr="00846EEE">
                          <w:rPr>
                            <w:rStyle w:val="SubtleEmphasis"/>
                            <w:rFonts w:asciiTheme="minorHAnsi" w:hAnsiTheme="minorHAnsi" w:cstheme="minorHAnsi"/>
                            <w:i w:val="0"/>
                            <w:color w:val="000000"/>
                            <w:sz w:val="18"/>
                            <w:szCs w:val="18"/>
                            <w:lang w:bidi="en-US"/>
                          </w:rPr>
                          <w:t>(194)</w:t>
                        </w:r>
                      </w:p>
                    </w:tc>
                    <w:tc>
                      <w:tcPr>
                        <w:tcW w:w="1542" w:type="dxa"/>
                        <w:tcBorders>
                          <w:top w:val="nil"/>
                          <w:bottom w:val="single" w:sz="4" w:space="0" w:color="auto"/>
                        </w:tcBorders>
                        <w:shd w:val="clear" w:color="auto" w:fill="auto"/>
                      </w:tcPr>
                      <w:p w14:paraId="7B33574B" w14:textId="77777777" w:rsidR="006F0BD3" w:rsidRDefault="00E036AA" w:rsidP="006F0BD3">
                        <w:pPr>
                          <w:spacing w:after="0" w:line="240" w:lineRule="auto"/>
                          <w:jc w:val="right"/>
                          <w:rPr>
                            <w:rStyle w:val="SubtleEmphasis"/>
                            <w:rFonts w:asciiTheme="minorHAnsi" w:hAnsiTheme="minorHAnsi" w:cstheme="minorHAnsi"/>
                            <w:bCs/>
                            <w:i w:val="0"/>
                            <w:color w:val="000000"/>
                            <w:sz w:val="18"/>
                            <w:szCs w:val="18"/>
                            <w:lang w:bidi="en-US"/>
                          </w:rPr>
                        </w:pPr>
                        <w:r>
                          <w:rPr>
                            <w:rStyle w:val="SubtleEmphasis"/>
                            <w:rFonts w:asciiTheme="minorHAnsi" w:hAnsiTheme="minorHAnsi" w:cstheme="minorHAnsi"/>
                            <w:bCs/>
                            <w:i w:val="0"/>
                            <w:color w:val="000000"/>
                            <w:sz w:val="18"/>
                            <w:szCs w:val="18"/>
                            <w:lang w:bidi="en-US"/>
                          </w:rPr>
                          <w:t>22,396</w:t>
                        </w:r>
                      </w:p>
                      <w:p w14:paraId="39DE649A" w14:textId="77777777" w:rsidR="00E036AA" w:rsidRDefault="00E036AA" w:rsidP="006F0BD3">
                        <w:pPr>
                          <w:spacing w:after="0" w:line="240" w:lineRule="auto"/>
                          <w:jc w:val="right"/>
                          <w:rPr>
                            <w:rStyle w:val="SubtleEmphasis"/>
                            <w:rFonts w:asciiTheme="minorHAnsi" w:hAnsiTheme="minorHAnsi" w:cstheme="minorHAnsi"/>
                            <w:bCs/>
                            <w:i w:val="0"/>
                            <w:color w:val="000000"/>
                            <w:sz w:val="18"/>
                            <w:szCs w:val="18"/>
                            <w:lang w:bidi="en-US"/>
                          </w:rPr>
                        </w:pPr>
                        <w:r>
                          <w:rPr>
                            <w:rStyle w:val="SubtleEmphasis"/>
                            <w:rFonts w:asciiTheme="minorHAnsi" w:hAnsiTheme="minorHAnsi" w:cstheme="minorHAnsi"/>
                            <w:bCs/>
                            <w:i w:val="0"/>
                            <w:color w:val="000000"/>
                            <w:sz w:val="18"/>
                            <w:szCs w:val="18"/>
                            <w:lang w:bidi="en-US"/>
                          </w:rPr>
                          <w:t>2,000</w:t>
                        </w:r>
                      </w:p>
                      <w:p w14:paraId="2E0E407B" w14:textId="77777777" w:rsidR="00E036AA" w:rsidRDefault="00E036AA" w:rsidP="006F0BD3">
                        <w:pPr>
                          <w:spacing w:after="0" w:line="240" w:lineRule="auto"/>
                          <w:jc w:val="right"/>
                          <w:rPr>
                            <w:rStyle w:val="SubtleEmphasis"/>
                            <w:rFonts w:asciiTheme="minorHAnsi" w:hAnsiTheme="minorHAnsi" w:cstheme="minorHAnsi"/>
                            <w:bCs/>
                            <w:i w:val="0"/>
                            <w:color w:val="000000"/>
                            <w:sz w:val="18"/>
                            <w:szCs w:val="18"/>
                            <w:lang w:bidi="en-US"/>
                          </w:rPr>
                        </w:pPr>
                        <w:r>
                          <w:rPr>
                            <w:rStyle w:val="SubtleEmphasis"/>
                            <w:rFonts w:asciiTheme="minorHAnsi" w:hAnsiTheme="minorHAnsi" w:cstheme="minorHAnsi"/>
                            <w:bCs/>
                            <w:i w:val="0"/>
                            <w:color w:val="000000"/>
                            <w:sz w:val="18"/>
                            <w:szCs w:val="18"/>
                            <w:lang w:bidi="en-US"/>
                          </w:rPr>
                          <w:t>6,217</w:t>
                        </w:r>
                      </w:p>
                      <w:p w14:paraId="2569C8C6" w14:textId="69A0B807" w:rsidR="00E036AA" w:rsidRPr="00846EEE" w:rsidRDefault="00E036AA" w:rsidP="006F0BD3">
                        <w:pPr>
                          <w:spacing w:after="0" w:line="240" w:lineRule="auto"/>
                          <w:jc w:val="right"/>
                          <w:rPr>
                            <w:rStyle w:val="SubtleEmphasis"/>
                            <w:rFonts w:asciiTheme="minorHAnsi" w:hAnsiTheme="minorHAnsi" w:cstheme="minorHAnsi"/>
                            <w:bCs/>
                            <w:i w:val="0"/>
                            <w:color w:val="000000"/>
                            <w:sz w:val="18"/>
                            <w:szCs w:val="18"/>
                            <w:lang w:bidi="en-US"/>
                          </w:rPr>
                        </w:pPr>
                        <w:r>
                          <w:rPr>
                            <w:rStyle w:val="SubtleEmphasis"/>
                            <w:rFonts w:asciiTheme="minorHAnsi" w:hAnsiTheme="minorHAnsi" w:cstheme="minorHAnsi"/>
                            <w:bCs/>
                            <w:i w:val="0"/>
                            <w:color w:val="000000"/>
                            <w:sz w:val="18"/>
                            <w:szCs w:val="18"/>
                            <w:lang w:bidi="en-US"/>
                          </w:rPr>
                          <w:t>(155)</w:t>
                        </w:r>
                      </w:p>
                    </w:tc>
                  </w:tr>
                  <w:tr w:rsidR="006F0BD3" w:rsidRPr="00551D5A" w14:paraId="3DE3DE1C" w14:textId="77777777" w:rsidTr="00997EF7">
                    <w:tc>
                      <w:tcPr>
                        <w:tcW w:w="4857" w:type="dxa"/>
                        <w:tcBorders>
                          <w:top w:val="single" w:sz="4" w:space="0" w:color="auto"/>
                          <w:bottom w:val="double" w:sz="4" w:space="0" w:color="auto"/>
                        </w:tcBorders>
                        <w:shd w:val="clear" w:color="auto" w:fill="auto"/>
                      </w:tcPr>
                      <w:p w14:paraId="74E94B99" w14:textId="77777777" w:rsidR="006F0BD3" w:rsidRPr="00846EEE" w:rsidRDefault="006F0BD3" w:rsidP="006F0BD3">
                        <w:pPr>
                          <w:spacing w:after="0" w:line="240" w:lineRule="auto"/>
                          <w:rPr>
                            <w:rFonts w:asciiTheme="minorHAnsi" w:hAnsiTheme="minorHAnsi" w:cstheme="minorHAnsi"/>
                            <w:color w:val="000000"/>
                            <w:sz w:val="18"/>
                            <w:szCs w:val="18"/>
                            <w:lang w:val="en-US" w:bidi="en-US"/>
                          </w:rPr>
                        </w:pPr>
                      </w:p>
                    </w:tc>
                    <w:tc>
                      <w:tcPr>
                        <w:tcW w:w="1541" w:type="dxa"/>
                        <w:tcBorders>
                          <w:top w:val="single" w:sz="4" w:space="0" w:color="auto"/>
                          <w:bottom w:val="double" w:sz="4" w:space="0" w:color="auto"/>
                        </w:tcBorders>
                        <w:shd w:val="clear" w:color="auto" w:fill="auto"/>
                      </w:tcPr>
                      <w:p w14:paraId="350611BC" w14:textId="4D778C74" w:rsidR="006F0BD3" w:rsidRPr="00846EEE" w:rsidRDefault="001C549A" w:rsidP="006F0BD3">
                        <w:pPr>
                          <w:pStyle w:val="DecimalAligned"/>
                          <w:spacing w:after="0" w:line="240" w:lineRule="auto"/>
                          <w:jc w:val="right"/>
                          <w:rPr>
                            <w:rFonts w:asciiTheme="minorHAnsi" w:hAnsiTheme="minorHAnsi" w:cstheme="minorHAnsi"/>
                            <w:b/>
                            <w:color w:val="000000"/>
                            <w:sz w:val="18"/>
                            <w:szCs w:val="18"/>
                            <w:lang w:bidi="en-US"/>
                          </w:rPr>
                        </w:pPr>
                        <w:r>
                          <w:rPr>
                            <w:rFonts w:asciiTheme="minorHAnsi" w:hAnsiTheme="minorHAnsi" w:cstheme="minorHAnsi"/>
                            <w:b/>
                            <w:color w:val="000000"/>
                            <w:sz w:val="18"/>
                            <w:szCs w:val="18"/>
                            <w:lang w:bidi="en-US"/>
                          </w:rPr>
                          <w:t>24,392</w:t>
                        </w:r>
                      </w:p>
                    </w:tc>
                    <w:tc>
                      <w:tcPr>
                        <w:tcW w:w="1541" w:type="dxa"/>
                        <w:tcBorders>
                          <w:top w:val="single" w:sz="4" w:space="0" w:color="auto"/>
                          <w:bottom w:val="double" w:sz="4" w:space="0" w:color="auto"/>
                        </w:tcBorders>
                      </w:tcPr>
                      <w:p w14:paraId="44E33B87" w14:textId="2069DF6A" w:rsidR="006F0BD3" w:rsidRPr="00846EEE" w:rsidRDefault="006F0BD3" w:rsidP="006F0BD3">
                        <w:pPr>
                          <w:pStyle w:val="DecimalAligned"/>
                          <w:spacing w:after="0" w:line="240" w:lineRule="auto"/>
                          <w:jc w:val="right"/>
                          <w:rPr>
                            <w:rFonts w:asciiTheme="minorHAnsi" w:hAnsiTheme="minorHAnsi" w:cstheme="minorHAnsi"/>
                            <w:color w:val="000000"/>
                            <w:sz w:val="18"/>
                            <w:szCs w:val="18"/>
                            <w:lang w:bidi="en-US"/>
                          </w:rPr>
                        </w:pPr>
                        <w:r w:rsidRPr="00846EEE">
                          <w:rPr>
                            <w:rFonts w:asciiTheme="minorHAnsi" w:hAnsiTheme="minorHAnsi" w:cstheme="minorHAnsi"/>
                            <w:color w:val="000000"/>
                            <w:sz w:val="18"/>
                            <w:szCs w:val="18"/>
                            <w:lang w:bidi="en-US"/>
                          </w:rPr>
                          <w:t>30,330</w:t>
                        </w:r>
                      </w:p>
                    </w:tc>
                    <w:tc>
                      <w:tcPr>
                        <w:tcW w:w="1542" w:type="dxa"/>
                        <w:tcBorders>
                          <w:top w:val="single" w:sz="4" w:space="0" w:color="auto"/>
                          <w:bottom w:val="double" w:sz="4" w:space="0" w:color="auto"/>
                        </w:tcBorders>
                        <w:shd w:val="clear" w:color="auto" w:fill="auto"/>
                      </w:tcPr>
                      <w:p w14:paraId="5C6F88E7" w14:textId="56303C9B" w:rsidR="006F0BD3" w:rsidRPr="00846EEE" w:rsidRDefault="00E036AA" w:rsidP="006F0BD3">
                        <w:pPr>
                          <w:pStyle w:val="DecimalAligned"/>
                          <w:spacing w:after="0" w:line="240" w:lineRule="auto"/>
                          <w:jc w:val="right"/>
                          <w:rPr>
                            <w:rFonts w:asciiTheme="minorHAnsi" w:hAnsiTheme="minorHAnsi" w:cstheme="minorHAnsi"/>
                            <w:color w:val="000000"/>
                            <w:sz w:val="18"/>
                            <w:szCs w:val="18"/>
                            <w:lang w:bidi="en-US"/>
                          </w:rPr>
                        </w:pPr>
                        <w:r>
                          <w:rPr>
                            <w:rFonts w:asciiTheme="minorHAnsi" w:hAnsiTheme="minorHAnsi" w:cstheme="minorHAnsi"/>
                            <w:color w:val="000000"/>
                            <w:sz w:val="18"/>
                            <w:szCs w:val="18"/>
                            <w:lang w:bidi="en-US"/>
                          </w:rPr>
                          <w:t>30,458</w:t>
                        </w:r>
                      </w:p>
                    </w:tc>
                  </w:tr>
                </w:tbl>
                <w:p w14:paraId="69CCA9FE" w14:textId="77777777" w:rsidR="00FD648F" w:rsidRPr="00846EEE" w:rsidRDefault="00FD648F" w:rsidP="0047121F">
                  <w:pPr>
                    <w:pStyle w:val="DecimalAligned"/>
                    <w:widowControl w:val="0"/>
                    <w:tabs>
                      <w:tab w:val="clear" w:pos="360"/>
                      <w:tab w:val="left" w:pos="352"/>
                      <w:tab w:val="left" w:pos="464"/>
                    </w:tabs>
                    <w:autoSpaceDE w:val="0"/>
                    <w:autoSpaceDN w:val="0"/>
                    <w:adjustRightInd w:val="0"/>
                    <w:spacing w:after="0" w:line="240" w:lineRule="auto"/>
                    <w:jc w:val="both"/>
                    <w:rPr>
                      <w:rFonts w:asciiTheme="minorHAnsi" w:hAnsiTheme="minorHAnsi" w:cstheme="minorHAnsi"/>
                      <w:b/>
                      <w:color w:val="000000"/>
                      <w:sz w:val="18"/>
                      <w:szCs w:val="18"/>
                      <w:lang w:bidi="en-US"/>
                    </w:rPr>
                  </w:pPr>
                </w:p>
                <w:p w14:paraId="6BA25C99" w14:textId="561B296C" w:rsidR="00886D90" w:rsidRPr="00846EEE" w:rsidRDefault="00063758" w:rsidP="0047121F">
                  <w:pPr>
                    <w:pStyle w:val="DecimalAligned"/>
                    <w:widowControl w:val="0"/>
                    <w:tabs>
                      <w:tab w:val="clear" w:pos="360"/>
                      <w:tab w:val="left" w:pos="352"/>
                      <w:tab w:val="left" w:pos="464"/>
                    </w:tabs>
                    <w:autoSpaceDE w:val="0"/>
                    <w:autoSpaceDN w:val="0"/>
                    <w:adjustRightInd w:val="0"/>
                    <w:spacing w:after="0" w:line="240" w:lineRule="auto"/>
                    <w:jc w:val="both"/>
                    <w:rPr>
                      <w:rFonts w:asciiTheme="minorHAnsi" w:hAnsiTheme="minorHAnsi" w:cstheme="minorHAnsi"/>
                      <w:color w:val="000000"/>
                      <w:sz w:val="18"/>
                      <w:szCs w:val="18"/>
                    </w:rPr>
                  </w:pPr>
                  <w:r w:rsidRPr="00997EF7">
                    <w:rPr>
                      <w:rFonts w:asciiTheme="minorHAnsi" w:hAnsiTheme="minorHAnsi" w:cstheme="minorHAnsi"/>
                      <w:color w:val="000000"/>
                      <w:sz w:val="18"/>
                      <w:szCs w:val="18"/>
                    </w:rPr>
                    <w:t>The Group is funded by external bank facilities</w:t>
                  </w:r>
                  <w:r w:rsidR="00FE0999">
                    <w:rPr>
                      <w:rFonts w:asciiTheme="minorHAnsi" w:hAnsiTheme="minorHAnsi" w:cstheme="minorHAnsi"/>
                      <w:color w:val="000000"/>
                      <w:sz w:val="18"/>
                      <w:szCs w:val="18"/>
                    </w:rPr>
                    <w:t xml:space="preserve"> </w:t>
                  </w:r>
                  <w:r w:rsidRPr="00997EF7">
                    <w:rPr>
                      <w:rFonts w:asciiTheme="minorHAnsi" w:hAnsiTheme="minorHAnsi" w:cstheme="minorHAnsi"/>
                      <w:color w:val="000000"/>
                      <w:sz w:val="18"/>
                      <w:szCs w:val="18"/>
                    </w:rPr>
                    <w:t>provided by HSBC</w:t>
                  </w:r>
                  <w:r w:rsidR="00FE0999">
                    <w:rPr>
                      <w:rFonts w:asciiTheme="minorHAnsi" w:hAnsiTheme="minorHAnsi" w:cstheme="minorHAnsi"/>
                      <w:color w:val="000000"/>
                      <w:sz w:val="18"/>
                      <w:szCs w:val="18"/>
                    </w:rPr>
                    <w:t xml:space="preserve">. The total drawn and undrawn facilities </w:t>
                  </w:r>
                  <w:r w:rsidR="0088425D" w:rsidRPr="00997EF7">
                    <w:rPr>
                      <w:rFonts w:asciiTheme="minorHAnsi" w:hAnsiTheme="minorHAnsi" w:cstheme="minorHAnsi"/>
                      <w:color w:val="000000"/>
                      <w:sz w:val="18"/>
                      <w:szCs w:val="18"/>
                    </w:rPr>
                    <w:t>compris</w:t>
                  </w:r>
                  <w:r w:rsidR="00FE0999">
                    <w:rPr>
                      <w:rFonts w:asciiTheme="minorHAnsi" w:hAnsiTheme="minorHAnsi" w:cstheme="minorHAnsi"/>
                      <w:color w:val="000000"/>
                      <w:sz w:val="18"/>
                      <w:szCs w:val="18"/>
                    </w:rPr>
                    <w:t>e</w:t>
                  </w:r>
                  <w:r w:rsidR="0088425D" w:rsidRPr="00997EF7">
                    <w:rPr>
                      <w:rFonts w:asciiTheme="minorHAnsi" w:hAnsiTheme="minorHAnsi" w:cstheme="minorHAnsi"/>
                      <w:color w:val="000000"/>
                      <w:sz w:val="18"/>
                      <w:szCs w:val="18"/>
                    </w:rPr>
                    <w:t xml:space="preserve"> a r</w:t>
                  </w:r>
                  <w:r w:rsidRPr="00997EF7">
                    <w:rPr>
                      <w:rFonts w:asciiTheme="minorHAnsi" w:hAnsiTheme="minorHAnsi" w:cstheme="minorHAnsi"/>
                      <w:color w:val="000000"/>
                      <w:sz w:val="18"/>
                      <w:szCs w:val="18"/>
                    </w:rPr>
                    <w:t>evolving credit facility of £</w:t>
                  </w:r>
                  <w:r w:rsidR="0088425D" w:rsidRPr="00997EF7">
                    <w:rPr>
                      <w:rFonts w:asciiTheme="minorHAnsi" w:hAnsiTheme="minorHAnsi" w:cstheme="minorHAnsi"/>
                      <w:color w:val="000000"/>
                      <w:sz w:val="18"/>
                      <w:szCs w:val="18"/>
                    </w:rPr>
                    <w:t>8</w:t>
                  </w:r>
                  <w:r w:rsidRPr="00997EF7">
                    <w:rPr>
                      <w:rFonts w:asciiTheme="minorHAnsi" w:hAnsiTheme="minorHAnsi" w:cstheme="minorHAnsi"/>
                      <w:color w:val="000000"/>
                      <w:sz w:val="18"/>
                      <w:szCs w:val="18"/>
                    </w:rPr>
                    <w:t>.2</w:t>
                  </w:r>
                  <w:r w:rsidR="0088425D" w:rsidRPr="00997EF7">
                    <w:rPr>
                      <w:rFonts w:asciiTheme="minorHAnsi" w:hAnsiTheme="minorHAnsi" w:cstheme="minorHAnsi"/>
                      <w:color w:val="000000"/>
                      <w:sz w:val="18"/>
                      <w:szCs w:val="18"/>
                    </w:rPr>
                    <w:t>m</w:t>
                  </w:r>
                  <w:r w:rsidR="005613FB">
                    <w:rPr>
                      <w:rFonts w:asciiTheme="minorHAnsi" w:hAnsiTheme="minorHAnsi" w:cstheme="minorHAnsi"/>
                      <w:color w:val="000000"/>
                      <w:sz w:val="18"/>
                      <w:szCs w:val="18"/>
                    </w:rPr>
                    <w:t xml:space="preserve"> (31 January 2022: £8.2m; 31 July 2022 £8.2m)</w:t>
                  </w:r>
                  <w:r w:rsidR="00010F87" w:rsidRPr="00997EF7">
                    <w:rPr>
                      <w:rFonts w:asciiTheme="minorHAnsi" w:hAnsiTheme="minorHAnsi" w:cstheme="minorHAnsi"/>
                      <w:color w:val="000000"/>
                      <w:sz w:val="18"/>
                      <w:szCs w:val="18"/>
                    </w:rPr>
                    <w:t>,</w:t>
                  </w:r>
                  <w:r w:rsidRPr="00997EF7">
                    <w:rPr>
                      <w:rFonts w:asciiTheme="minorHAnsi" w:hAnsiTheme="minorHAnsi" w:cstheme="minorHAnsi"/>
                      <w:color w:val="000000"/>
                      <w:sz w:val="18"/>
                      <w:szCs w:val="18"/>
                    </w:rPr>
                    <w:t xml:space="preserve"> an invoice discounting facility</w:t>
                  </w:r>
                  <w:r w:rsidR="00AC4BB3" w:rsidRPr="00997EF7">
                    <w:rPr>
                      <w:rFonts w:asciiTheme="minorHAnsi" w:hAnsiTheme="minorHAnsi" w:cstheme="minorHAnsi"/>
                      <w:color w:val="000000"/>
                      <w:sz w:val="18"/>
                      <w:szCs w:val="18"/>
                    </w:rPr>
                    <w:t xml:space="preserve"> of</w:t>
                  </w:r>
                  <w:r w:rsidRPr="00997EF7">
                    <w:rPr>
                      <w:rFonts w:asciiTheme="minorHAnsi" w:hAnsiTheme="minorHAnsi" w:cstheme="minorHAnsi"/>
                      <w:color w:val="000000"/>
                      <w:sz w:val="18"/>
                      <w:szCs w:val="18"/>
                    </w:rPr>
                    <w:t xml:space="preserve"> £</w:t>
                  </w:r>
                  <w:r w:rsidR="0088425D" w:rsidRPr="00997EF7">
                    <w:rPr>
                      <w:rFonts w:asciiTheme="minorHAnsi" w:hAnsiTheme="minorHAnsi" w:cstheme="minorHAnsi"/>
                      <w:color w:val="000000"/>
                      <w:sz w:val="18"/>
                      <w:szCs w:val="18"/>
                    </w:rPr>
                    <w:t>23.5</w:t>
                  </w:r>
                  <w:r w:rsidRPr="00997EF7">
                    <w:rPr>
                      <w:rFonts w:asciiTheme="minorHAnsi" w:hAnsiTheme="minorHAnsi" w:cstheme="minorHAnsi"/>
                      <w:color w:val="000000"/>
                      <w:sz w:val="18"/>
                      <w:szCs w:val="18"/>
                    </w:rPr>
                    <w:t>m</w:t>
                  </w:r>
                  <w:r w:rsidR="00010F87" w:rsidRPr="00997EF7">
                    <w:rPr>
                      <w:rFonts w:asciiTheme="minorHAnsi" w:hAnsiTheme="minorHAnsi" w:cstheme="minorHAnsi"/>
                      <w:color w:val="000000"/>
                      <w:sz w:val="18"/>
                      <w:szCs w:val="18"/>
                    </w:rPr>
                    <w:t xml:space="preserve"> </w:t>
                  </w:r>
                  <w:r w:rsidR="005613FB">
                    <w:rPr>
                      <w:rFonts w:asciiTheme="minorHAnsi" w:hAnsiTheme="minorHAnsi" w:cstheme="minorHAnsi"/>
                      <w:color w:val="000000"/>
                      <w:sz w:val="18"/>
                      <w:szCs w:val="18"/>
                    </w:rPr>
                    <w:t xml:space="preserve">(31 January 2022: £23.5m; 31 July 2022 £23.5m) </w:t>
                  </w:r>
                  <w:r w:rsidR="00010F87" w:rsidRPr="00997EF7">
                    <w:rPr>
                      <w:rFonts w:asciiTheme="minorHAnsi" w:hAnsiTheme="minorHAnsi" w:cstheme="minorHAnsi"/>
                      <w:color w:val="000000"/>
                      <w:sz w:val="18"/>
                      <w:szCs w:val="18"/>
                    </w:rPr>
                    <w:t>and a term loan of £</w:t>
                  </w:r>
                  <w:r w:rsidR="00AA3160">
                    <w:rPr>
                      <w:rFonts w:asciiTheme="minorHAnsi" w:hAnsiTheme="minorHAnsi" w:cstheme="minorHAnsi"/>
                      <w:color w:val="000000"/>
                      <w:sz w:val="18"/>
                      <w:szCs w:val="18"/>
                    </w:rPr>
                    <w:t>7</w:t>
                  </w:r>
                  <w:r w:rsidR="00010F87" w:rsidRPr="00997EF7">
                    <w:rPr>
                      <w:rFonts w:asciiTheme="minorHAnsi" w:hAnsiTheme="minorHAnsi" w:cstheme="minorHAnsi"/>
                      <w:color w:val="000000"/>
                      <w:sz w:val="18"/>
                      <w:szCs w:val="18"/>
                    </w:rPr>
                    <w:t>m</w:t>
                  </w:r>
                  <w:r w:rsidR="005613FB">
                    <w:rPr>
                      <w:rFonts w:asciiTheme="minorHAnsi" w:hAnsiTheme="minorHAnsi" w:cstheme="minorHAnsi"/>
                      <w:color w:val="000000"/>
                      <w:sz w:val="18"/>
                      <w:szCs w:val="18"/>
                    </w:rPr>
                    <w:t xml:space="preserve"> (31 January 2022: £9m; 31 July 2022: £8m)</w:t>
                  </w:r>
                  <w:r w:rsidR="00B45362" w:rsidRPr="00997EF7">
                    <w:rPr>
                      <w:rFonts w:asciiTheme="minorHAnsi" w:hAnsiTheme="minorHAnsi" w:cstheme="minorHAnsi"/>
                      <w:color w:val="000000"/>
                      <w:sz w:val="18"/>
                      <w:szCs w:val="18"/>
                    </w:rPr>
                    <w:t>,</w:t>
                  </w:r>
                  <w:r w:rsidR="0088425D" w:rsidRPr="00997EF7">
                    <w:rPr>
                      <w:rFonts w:asciiTheme="minorHAnsi" w:hAnsiTheme="minorHAnsi" w:cstheme="minorHAnsi"/>
                      <w:color w:val="000000"/>
                      <w:sz w:val="18"/>
                      <w:szCs w:val="18"/>
                    </w:rPr>
                    <w:t xml:space="preserve"> </w:t>
                  </w:r>
                  <w:r w:rsidR="00010F87" w:rsidRPr="00997EF7">
                    <w:rPr>
                      <w:rFonts w:asciiTheme="minorHAnsi" w:hAnsiTheme="minorHAnsi" w:cstheme="minorHAnsi"/>
                      <w:color w:val="000000"/>
                      <w:sz w:val="18"/>
                      <w:szCs w:val="18"/>
                    </w:rPr>
                    <w:t>all</w:t>
                  </w:r>
                  <w:r w:rsidR="0088425D" w:rsidRPr="00997EF7">
                    <w:rPr>
                      <w:rFonts w:asciiTheme="minorHAnsi" w:hAnsiTheme="minorHAnsi" w:cstheme="minorHAnsi"/>
                      <w:color w:val="000000"/>
                      <w:sz w:val="18"/>
                      <w:szCs w:val="18"/>
                    </w:rPr>
                    <w:t xml:space="preserve"> running to 2024, along with an import loan facility of £</w:t>
                  </w:r>
                  <w:r w:rsidR="00612B14" w:rsidRPr="00997EF7">
                    <w:rPr>
                      <w:rFonts w:asciiTheme="minorHAnsi" w:hAnsiTheme="minorHAnsi" w:cstheme="minorHAnsi"/>
                      <w:color w:val="000000"/>
                      <w:sz w:val="18"/>
                      <w:szCs w:val="18"/>
                    </w:rPr>
                    <w:t>12</w:t>
                  </w:r>
                  <w:r w:rsidR="0088425D" w:rsidRPr="00997EF7">
                    <w:rPr>
                      <w:rFonts w:asciiTheme="minorHAnsi" w:hAnsiTheme="minorHAnsi" w:cstheme="minorHAnsi"/>
                      <w:color w:val="000000"/>
                      <w:sz w:val="18"/>
                      <w:szCs w:val="18"/>
                    </w:rPr>
                    <w:t xml:space="preserve">m </w:t>
                  </w:r>
                  <w:r w:rsidR="005613FB">
                    <w:rPr>
                      <w:rFonts w:asciiTheme="minorHAnsi" w:hAnsiTheme="minorHAnsi" w:cstheme="minorHAnsi"/>
                      <w:color w:val="000000"/>
                      <w:sz w:val="18"/>
                      <w:szCs w:val="18"/>
                    </w:rPr>
                    <w:t xml:space="preserve">(31 January 2022: £8.7m; 31 July 2022: £9m) </w:t>
                  </w:r>
                  <w:r w:rsidR="0088425D" w:rsidRPr="00997EF7">
                    <w:rPr>
                      <w:rFonts w:asciiTheme="minorHAnsi" w:hAnsiTheme="minorHAnsi" w:cstheme="minorHAnsi"/>
                      <w:color w:val="000000"/>
                      <w:sz w:val="18"/>
                      <w:szCs w:val="18"/>
                    </w:rPr>
                    <w:t>which is subject to annual review.</w:t>
                  </w:r>
                  <w:r w:rsidR="0088425D" w:rsidRPr="00846EEE">
                    <w:rPr>
                      <w:rFonts w:asciiTheme="minorHAnsi" w:hAnsiTheme="minorHAnsi" w:cstheme="minorHAnsi"/>
                      <w:color w:val="000000"/>
                      <w:sz w:val="18"/>
                      <w:szCs w:val="18"/>
                    </w:rPr>
                    <w:t xml:space="preserve"> </w:t>
                  </w:r>
                </w:p>
                <w:p w14:paraId="4FE1F622" w14:textId="58926AAF" w:rsidR="006217AE" w:rsidRDefault="006217AE" w:rsidP="0047121F">
                  <w:pPr>
                    <w:pStyle w:val="DecimalAligned"/>
                    <w:widowControl w:val="0"/>
                    <w:tabs>
                      <w:tab w:val="clear" w:pos="360"/>
                      <w:tab w:val="left" w:pos="352"/>
                      <w:tab w:val="left" w:pos="464"/>
                    </w:tabs>
                    <w:autoSpaceDE w:val="0"/>
                    <w:autoSpaceDN w:val="0"/>
                    <w:adjustRightInd w:val="0"/>
                    <w:spacing w:after="0" w:line="240" w:lineRule="auto"/>
                    <w:jc w:val="both"/>
                    <w:rPr>
                      <w:rFonts w:asciiTheme="minorHAnsi" w:hAnsiTheme="minorHAnsi" w:cstheme="minorHAnsi"/>
                      <w:color w:val="000000"/>
                      <w:sz w:val="18"/>
                      <w:szCs w:val="18"/>
                    </w:rPr>
                  </w:pPr>
                </w:p>
                <w:p w14:paraId="0413B350" w14:textId="139009D3" w:rsidR="006217AE" w:rsidRDefault="006217AE" w:rsidP="0047121F">
                  <w:pPr>
                    <w:pStyle w:val="DecimalAligned"/>
                    <w:widowControl w:val="0"/>
                    <w:tabs>
                      <w:tab w:val="clear" w:pos="360"/>
                      <w:tab w:val="left" w:pos="352"/>
                      <w:tab w:val="left" w:pos="464"/>
                    </w:tabs>
                    <w:autoSpaceDE w:val="0"/>
                    <w:autoSpaceDN w:val="0"/>
                    <w:adjustRightInd w:val="0"/>
                    <w:spacing w:after="0" w:line="240" w:lineRule="auto"/>
                    <w:jc w:val="both"/>
                    <w:rPr>
                      <w:rFonts w:asciiTheme="minorHAnsi" w:hAnsiTheme="minorHAnsi" w:cstheme="minorHAnsi"/>
                      <w:color w:val="000000"/>
                      <w:sz w:val="18"/>
                      <w:szCs w:val="18"/>
                    </w:rPr>
                  </w:pPr>
                </w:p>
                <w:p w14:paraId="17D59D20" w14:textId="11CF7AA8" w:rsidR="006217AE" w:rsidRDefault="006217AE" w:rsidP="0047121F">
                  <w:pPr>
                    <w:pStyle w:val="DecimalAligned"/>
                    <w:widowControl w:val="0"/>
                    <w:tabs>
                      <w:tab w:val="clear" w:pos="360"/>
                      <w:tab w:val="left" w:pos="352"/>
                      <w:tab w:val="left" w:pos="464"/>
                    </w:tabs>
                    <w:autoSpaceDE w:val="0"/>
                    <w:autoSpaceDN w:val="0"/>
                    <w:adjustRightInd w:val="0"/>
                    <w:spacing w:after="0" w:line="240" w:lineRule="auto"/>
                    <w:jc w:val="both"/>
                    <w:rPr>
                      <w:rFonts w:asciiTheme="minorHAnsi" w:hAnsiTheme="minorHAnsi" w:cstheme="minorHAnsi"/>
                      <w:color w:val="000000"/>
                      <w:sz w:val="18"/>
                      <w:szCs w:val="18"/>
                    </w:rPr>
                  </w:pPr>
                </w:p>
                <w:p w14:paraId="5FA131C2" w14:textId="2E514867" w:rsidR="006217AE" w:rsidRDefault="006217AE" w:rsidP="0047121F">
                  <w:pPr>
                    <w:pStyle w:val="DecimalAligned"/>
                    <w:widowControl w:val="0"/>
                    <w:tabs>
                      <w:tab w:val="clear" w:pos="360"/>
                      <w:tab w:val="left" w:pos="352"/>
                      <w:tab w:val="left" w:pos="464"/>
                    </w:tabs>
                    <w:autoSpaceDE w:val="0"/>
                    <w:autoSpaceDN w:val="0"/>
                    <w:adjustRightInd w:val="0"/>
                    <w:spacing w:after="0" w:line="240" w:lineRule="auto"/>
                    <w:jc w:val="both"/>
                    <w:rPr>
                      <w:rFonts w:asciiTheme="minorHAnsi" w:hAnsiTheme="minorHAnsi" w:cstheme="minorHAnsi"/>
                      <w:color w:val="000000"/>
                      <w:sz w:val="18"/>
                      <w:szCs w:val="18"/>
                    </w:rPr>
                  </w:pPr>
                </w:p>
                <w:p w14:paraId="7F536677" w14:textId="5B661F9E" w:rsidR="006217AE" w:rsidRDefault="006217AE" w:rsidP="0047121F">
                  <w:pPr>
                    <w:pStyle w:val="DecimalAligned"/>
                    <w:widowControl w:val="0"/>
                    <w:tabs>
                      <w:tab w:val="clear" w:pos="360"/>
                      <w:tab w:val="left" w:pos="352"/>
                      <w:tab w:val="left" w:pos="464"/>
                    </w:tabs>
                    <w:autoSpaceDE w:val="0"/>
                    <w:autoSpaceDN w:val="0"/>
                    <w:adjustRightInd w:val="0"/>
                    <w:spacing w:after="0" w:line="240" w:lineRule="auto"/>
                    <w:jc w:val="both"/>
                    <w:rPr>
                      <w:rFonts w:asciiTheme="minorHAnsi" w:hAnsiTheme="minorHAnsi" w:cstheme="minorHAnsi"/>
                      <w:color w:val="000000"/>
                      <w:sz w:val="18"/>
                      <w:szCs w:val="18"/>
                    </w:rPr>
                  </w:pPr>
                </w:p>
                <w:p w14:paraId="77D7D327" w14:textId="251AA436" w:rsidR="006217AE" w:rsidRDefault="006217AE" w:rsidP="0047121F">
                  <w:pPr>
                    <w:pStyle w:val="DecimalAligned"/>
                    <w:widowControl w:val="0"/>
                    <w:tabs>
                      <w:tab w:val="clear" w:pos="360"/>
                      <w:tab w:val="left" w:pos="352"/>
                      <w:tab w:val="left" w:pos="464"/>
                    </w:tabs>
                    <w:autoSpaceDE w:val="0"/>
                    <w:autoSpaceDN w:val="0"/>
                    <w:adjustRightInd w:val="0"/>
                    <w:spacing w:after="0" w:line="240" w:lineRule="auto"/>
                    <w:jc w:val="both"/>
                    <w:rPr>
                      <w:rFonts w:asciiTheme="minorHAnsi" w:hAnsiTheme="minorHAnsi" w:cstheme="minorHAnsi"/>
                      <w:color w:val="000000"/>
                      <w:sz w:val="18"/>
                      <w:szCs w:val="18"/>
                    </w:rPr>
                  </w:pPr>
                </w:p>
                <w:p w14:paraId="56B6E924" w14:textId="77777777" w:rsidR="006217AE" w:rsidRPr="00846EEE" w:rsidRDefault="006217AE" w:rsidP="0047121F">
                  <w:pPr>
                    <w:pStyle w:val="DecimalAligned"/>
                    <w:widowControl w:val="0"/>
                    <w:tabs>
                      <w:tab w:val="clear" w:pos="360"/>
                      <w:tab w:val="left" w:pos="352"/>
                      <w:tab w:val="left" w:pos="464"/>
                    </w:tabs>
                    <w:autoSpaceDE w:val="0"/>
                    <w:autoSpaceDN w:val="0"/>
                    <w:adjustRightInd w:val="0"/>
                    <w:spacing w:after="0" w:line="240" w:lineRule="auto"/>
                    <w:jc w:val="both"/>
                    <w:rPr>
                      <w:rFonts w:asciiTheme="minorHAnsi" w:hAnsiTheme="minorHAnsi" w:cstheme="minorHAnsi"/>
                      <w:color w:val="000000"/>
                      <w:sz w:val="18"/>
                      <w:szCs w:val="18"/>
                    </w:rPr>
                  </w:pPr>
                </w:p>
                <w:p w14:paraId="5802A0A0" w14:textId="77777777" w:rsidR="004C1114" w:rsidRPr="00846EEE" w:rsidRDefault="004C1114" w:rsidP="0047121F">
                  <w:pPr>
                    <w:pStyle w:val="DecimalAligned"/>
                    <w:widowControl w:val="0"/>
                    <w:tabs>
                      <w:tab w:val="clear" w:pos="360"/>
                      <w:tab w:val="left" w:pos="352"/>
                      <w:tab w:val="left" w:pos="464"/>
                    </w:tabs>
                    <w:autoSpaceDE w:val="0"/>
                    <w:autoSpaceDN w:val="0"/>
                    <w:adjustRightInd w:val="0"/>
                    <w:spacing w:after="0" w:line="240" w:lineRule="auto"/>
                    <w:jc w:val="both"/>
                    <w:rPr>
                      <w:rFonts w:asciiTheme="minorHAnsi" w:hAnsiTheme="minorHAnsi" w:cstheme="minorHAnsi"/>
                      <w:b/>
                      <w:color w:val="000000"/>
                      <w:sz w:val="18"/>
                      <w:szCs w:val="18"/>
                      <w:lang w:bidi="en-US"/>
                    </w:rPr>
                  </w:pPr>
                </w:p>
                <w:p w14:paraId="3A176FD1" w14:textId="77777777" w:rsidR="00703802" w:rsidRPr="00846EEE" w:rsidRDefault="00703802" w:rsidP="0047121F">
                  <w:pPr>
                    <w:pStyle w:val="DecimalAligned"/>
                    <w:widowControl w:val="0"/>
                    <w:numPr>
                      <w:ilvl w:val="0"/>
                      <w:numId w:val="1"/>
                    </w:numPr>
                    <w:tabs>
                      <w:tab w:val="clear" w:pos="360"/>
                      <w:tab w:val="left" w:pos="352"/>
                      <w:tab w:val="left" w:pos="464"/>
                    </w:tabs>
                    <w:autoSpaceDE w:val="0"/>
                    <w:autoSpaceDN w:val="0"/>
                    <w:adjustRightInd w:val="0"/>
                    <w:spacing w:after="0" w:line="240" w:lineRule="auto"/>
                    <w:ind w:hanging="720"/>
                    <w:jc w:val="both"/>
                    <w:rPr>
                      <w:rFonts w:asciiTheme="minorHAnsi" w:hAnsiTheme="minorHAnsi" w:cstheme="minorHAnsi"/>
                      <w:b/>
                      <w:color w:val="000000"/>
                      <w:sz w:val="18"/>
                      <w:szCs w:val="18"/>
                      <w:lang w:bidi="en-US"/>
                    </w:rPr>
                  </w:pPr>
                  <w:r w:rsidRPr="00846EEE">
                    <w:rPr>
                      <w:rFonts w:asciiTheme="minorHAnsi" w:hAnsiTheme="minorHAnsi" w:cstheme="minorHAnsi"/>
                      <w:b/>
                      <w:color w:val="000000"/>
                      <w:sz w:val="18"/>
                      <w:szCs w:val="18"/>
                      <w:lang w:bidi="en-US"/>
                    </w:rPr>
                    <w:t xml:space="preserve">Financial </w:t>
                  </w:r>
                  <w:r w:rsidR="000D1FC4" w:rsidRPr="00846EEE">
                    <w:rPr>
                      <w:rFonts w:asciiTheme="minorHAnsi" w:hAnsiTheme="minorHAnsi" w:cstheme="minorHAnsi"/>
                      <w:b/>
                      <w:color w:val="000000"/>
                      <w:sz w:val="18"/>
                      <w:szCs w:val="18"/>
                      <w:lang w:bidi="en-US"/>
                    </w:rPr>
                    <w:t>I</w:t>
                  </w:r>
                  <w:r w:rsidRPr="00846EEE">
                    <w:rPr>
                      <w:rFonts w:asciiTheme="minorHAnsi" w:hAnsiTheme="minorHAnsi" w:cstheme="minorHAnsi"/>
                      <w:b/>
                      <w:color w:val="000000"/>
                      <w:sz w:val="18"/>
                      <w:szCs w:val="18"/>
                      <w:lang w:bidi="en-US"/>
                    </w:rPr>
                    <w:t>nstruments</w:t>
                  </w:r>
                </w:p>
                <w:p w14:paraId="302987AF" w14:textId="77777777" w:rsidR="00886D90" w:rsidRPr="00846EEE" w:rsidRDefault="00886D90" w:rsidP="0047121F">
                  <w:pPr>
                    <w:pStyle w:val="DecimalAligned"/>
                    <w:widowControl w:val="0"/>
                    <w:tabs>
                      <w:tab w:val="clear" w:pos="360"/>
                      <w:tab w:val="left" w:pos="352"/>
                      <w:tab w:val="left" w:pos="464"/>
                    </w:tabs>
                    <w:autoSpaceDE w:val="0"/>
                    <w:autoSpaceDN w:val="0"/>
                    <w:adjustRightInd w:val="0"/>
                    <w:spacing w:after="0" w:line="240" w:lineRule="auto"/>
                    <w:jc w:val="both"/>
                    <w:rPr>
                      <w:rFonts w:asciiTheme="minorHAnsi" w:hAnsiTheme="minorHAnsi" w:cstheme="minorHAnsi"/>
                      <w:b/>
                      <w:color w:val="000000"/>
                      <w:sz w:val="18"/>
                      <w:szCs w:val="18"/>
                      <w:lang w:bidi="en-US"/>
                    </w:rPr>
                  </w:pPr>
                </w:p>
                <w:p w14:paraId="4447077C" w14:textId="77777777" w:rsidR="00413481" w:rsidRPr="00846EEE" w:rsidRDefault="00BE2449" w:rsidP="0047121F">
                  <w:pPr>
                    <w:pStyle w:val="DecimalAligned"/>
                    <w:widowControl w:val="0"/>
                    <w:numPr>
                      <w:ilvl w:val="0"/>
                      <w:numId w:val="40"/>
                    </w:numPr>
                    <w:tabs>
                      <w:tab w:val="clear" w:pos="360"/>
                      <w:tab w:val="left" w:pos="352"/>
                      <w:tab w:val="left" w:pos="464"/>
                    </w:tabs>
                    <w:autoSpaceDE w:val="0"/>
                    <w:autoSpaceDN w:val="0"/>
                    <w:adjustRightInd w:val="0"/>
                    <w:spacing w:after="0" w:line="240" w:lineRule="auto"/>
                    <w:jc w:val="both"/>
                    <w:rPr>
                      <w:rFonts w:asciiTheme="minorHAnsi" w:hAnsiTheme="minorHAnsi" w:cstheme="minorHAnsi"/>
                      <w:b/>
                      <w:color w:val="000000"/>
                      <w:sz w:val="18"/>
                      <w:szCs w:val="18"/>
                      <w:lang w:bidi="en-US"/>
                    </w:rPr>
                  </w:pPr>
                  <w:r w:rsidRPr="00846EEE">
                    <w:rPr>
                      <w:rFonts w:asciiTheme="minorHAnsi" w:hAnsiTheme="minorHAnsi" w:cstheme="minorHAnsi"/>
                      <w:b/>
                      <w:color w:val="000000"/>
                      <w:sz w:val="18"/>
                      <w:szCs w:val="18"/>
                      <w:lang w:bidi="en-US"/>
                    </w:rPr>
                    <w:lastRenderedPageBreak/>
                    <w:t>Principal financial i</w:t>
                  </w:r>
                  <w:r w:rsidR="00413481" w:rsidRPr="00846EEE">
                    <w:rPr>
                      <w:rFonts w:asciiTheme="minorHAnsi" w:hAnsiTheme="minorHAnsi" w:cstheme="minorHAnsi"/>
                      <w:b/>
                      <w:color w:val="000000"/>
                      <w:sz w:val="18"/>
                      <w:szCs w:val="18"/>
                      <w:lang w:bidi="en-US"/>
                    </w:rPr>
                    <w:t>nstruments</w:t>
                  </w:r>
                </w:p>
                <w:p w14:paraId="73F701C0" w14:textId="77777777" w:rsidR="00A42066" w:rsidRPr="00846EEE" w:rsidRDefault="00413481" w:rsidP="0047121F">
                  <w:pPr>
                    <w:spacing w:after="0" w:line="240" w:lineRule="auto"/>
                    <w:jc w:val="both"/>
                    <w:rPr>
                      <w:rFonts w:asciiTheme="minorHAnsi" w:hAnsiTheme="minorHAnsi" w:cstheme="minorHAnsi"/>
                      <w:sz w:val="18"/>
                      <w:szCs w:val="18"/>
                    </w:rPr>
                  </w:pPr>
                  <w:r w:rsidRPr="00846EEE">
                    <w:rPr>
                      <w:rFonts w:asciiTheme="minorHAnsi" w:hAnsiTheme="minorHAnsi" w:cstheme="minorHAnsi"/>
                      <w:sz w:val="18"/>
                      <w:szCs w:val="18"/>
                    </w:rPr>
                    <w:t>The principal financial instruments used by the Group, from which financial instrument risk arises are as follows:</w:t>
                  </w:r>
                </w:p>
                <w:p w14:paraId="660B1D8E" w14:textId="77777777" w:rsidR="00062D63" w:rsidRPr="00846EEE" w:rsidRDefault="00062D63" w:rsidP="0047121F">
                  <w:pPr>
                    <w:spacing w:after="0" w:line="240" w:lineRule="auto"/>
                    <w:jc w:val="both"/>
                    <w:rPr>
                      <w:rFonts w:asciiTheme="minorHAnsi" w:hAnsiTheme="minorHAnsi" w:cstheme="minorHAnsi"/>
                      <w:sz w:val="18"/>
                      <w:szCs w:val="18"/>
                    </w:rPr>
                  </w:pPr>
                </w:p>
                <w:tbl>
                  <w:tblPr>
                    <w:tblW w:w="9469" w:type="dxa"/>
                    <w:tblBorders>
                      <w:top w:val="single" w:sz="8" w:space="0" w:color="4F81BD"/>
                      <w:bottom w:val="single" w:sz="8" w:space="0" w:color="4F81BD"/>
                    </w:tblBorders>
                    <w:tblLayout w:type="fixed"/>
                    <w:tblLook w:val="0660" w:firstRow="1" w:lastRow="1" w:firstColumn="0" w:lastColumn="0" w:noHBand="1" w:noVBand="1"/>
                  </w:tblPr>
                  <w:tblGrid>
                    <w:gridCol w:w="4857"/>
                    <w:gridCol w:w="1537"/>
                    <w:gridCol w:w="1537"/>
                    <w:gridCol w:w="1538"/>
                  </w:tblGrid>
                  <w:tr w:rsidR="000D62C9" w:rsidRPr="00551D5A" w14:paraId="62D0B3C4" w14:textId="77777777" w:rsidTr="00997EF7">
                    <w:trPr>
                      <w:trHeight w:val="486"/>
                    </w:trPr>
                    <w:tc>
                      <w:tcPr>
                        <w:tcW w:w="4857" w:type="dxa"/>
                        <w:tcBorders>
                          <w:top w:val="nil"/>
                          <w:left w:val="nil"/>
                          <w:bottom w:val="nil"/>
                          <w:right w:val="nil"/>
                        </w:tcBorders>
                        <w:shd w:val="clear" w:color="auto" w:fill="auto"/>
                      </w:tcPr>
                      <w:p w14:paraId="5379C5B3" w14:textId="77777777" w:rsidR="000D62C9" w:rsidRPr="00846EEE" w:rsidRDefault="000D62C9" w:rsidP="000D62C9">
                        <w:pPr>
                          <w:spacing w:after="0" w:line="240" w:lineRule="auto"/>
                          <w:rPr>
                            <w:rFonts w:asciiTheme="minorHAnsi" w:hAnsiTheme="minorHAnsi" w:cstheme="minorHAnsi"/>
                            <w:b/>
                            <w:bCs/>
                            <w:color w:val="000000"/>
                            <w:sz w:val="18"/>
                            <w:szCs w:val="18"/>
                            <w:lang w:val="en-US" w:bidi="en-US"/>
                          </w:rPr>
                        </w:pPr>
                      </w:p>
                      <w:p w14:paraId="01A23A33" w14:textId="77777777" w:rsidR="000D62C9" w:rsidRPr="00846EEE" w:rsidRDefault="000D62C9" w:rsidP="000D62C9">
                        <w:pPr>
                          <w:spacing w:after="0" w:line="240" w:lineRule="auto"/>
                          <w:rPr>
                            <w:rFonts w:asciiTheme="minorHAnsi" w:hAnsiTheme="minorHAnsi" w:cstheme="minorHAnsi"/>
                            <w:b/>
                            <w:bCs/>
                            <w:color w:val="000000"/>
                            <w:sz w:val="18"/>
                            <w:szCs w:val="18"/>
                            <w:lang w:val="en-US" w:bidi="en-US"/>
                          </w:rPr>
                        </w:pPr>
                      </w:p>
                    </w:tc>
                    <w:tc>
                      <w:tcPr>
                        <w:tcW w:w="1537" w:type="dxa"/>
                        <w:tcBorders>
                          <w:top w:val="nil"/>
                          <w:left w:val="nil"/>
                          <w:bottom w:val="nil"/>
                          <w:right w:val="nil"/>
                        </w:tcBorders>
                        <w:shd w:val="clear" w:color="auto" w:fill="auto"/>
                        <w:vAlign w:val="bottom"/>
                      </w:tcPr>
                      <w:p w14:paraId="630C9276" w14:textId="60E6D10D" w:rsidR="000D62C9" w:rsidRPr="00846EEE" w:rsidRDefault="000D62C9" w:rsidP="00C264D1">
                        <w:pPr>
                          <w:spacing w:after="0" w:line="240" w:lineRule="auto"/>
                          <w:jc w:val="right"/>
                          <w:rPr>
                            <w:rFonts w:asciiTheme="minorHAnsi" w:hAnsiTheme="minorHAnsi" w:cstheme="minorHAnsi"/>
                            <w:b/>
                            <w:bCs/>
                            <w:color w:val="000000"/>
                            <w:sz w:val="18"/>
                            <w:szCs w:val="18"/>
                            <w:lang w:val="en-US" w:bidi="en-US"/>
                          </w:rPr>
                        </w:pPr>
                        <w:r w:rsidRPr="00846EEE">
                          <w:rPr>
                            <w:rFonts w:asciiTheme="minorHAnsi" w:hAnsiTheme="minorHAnsi" w:cstheme="minorHAnsi"/>
                            <w:b/>
                            <w:bCs/>
                            <w:color w:val="000000"/>
                            <w:sz w:val="18"/>
                            <w:szCs w:val="18"/>
                            <w:lang w:bidi="en-US"/>
                          </w:rPr>
                          <w:t>As at</w:t>
                        </w:r>
                        <w:r w:rsidRPr="00846EEE">
                          <w:rPr>
                            <w:rFonts w:asciiTheme="minorHAnsi" w:hAnsiTheme="minorHAnsi" w:cstheme="minorHAnsi"/>
                            <w:b/>
                            <w:bCs/>
                            <w:color w:val="000000"/>
                            <w:sz w:val="18"/>
                            <w:szCs w:val="18"/>
                            <w:lang w:bidi="en-US"/>
                          </w:rPr>
                          <w:br/>
                          <w:t>31 Jan</w:t>
                        </w:r>
                        <w:r>
                          <w:rPr>
                            <w:rFonts w:asciiTheme="minorHAnsi" w:hAnsiTheme="minorHAnsi" w:cstheme="minorHAnsi"/>
                            <w:b/>
                            <w:bCs/>
                            <w:color w:val="000000"/>
                            <w:sz w:val="18"/>
                            <w:szCs w:val="18"/>
                            <w:lang w:bidi="en-US"/>
                          </w:rPr>
                          <w:t>uary</w:t>
                        </w:r>
                        <w:r w:rsidRPr="00846EEE">
                          <w:rPr>
                            <w:rFonts w:asciiTheme="minorHAnsi" w:hAnsiTheme="minorHAnsi" w:cstheme="minorHAnsi"/>
                            <w:b/>
                            <w:bCs/>
                            <w:color w:val="000000"/>
                            <w:sz w:val="18"/>
                            <w:szCs w:val="18"/>
                            <w:lang w:bidi="en-US"/>
                          </w:rPr>
                          <w:t xml:space="preserve"> 2023</w:t>
                        </w:r>
                      </w:p>
                    </w:tc>
                    <w:tc>
                      <w:tcPr>
                        <w:tcW w:w="1537" w:type="dxa"/>
                        <w:tcBorders>
                          <w:top w:val="nil"/>
                          <w:left w:val="nil"/>
                          <w:bottom w:val="nil"/>
                          <w:right w:val="nil"/>
                        </w:tcBorders>
                        <w:vAlign w:val="bottom"/>
                      </w:tcPr>
                      <w:p w14:paraId="1CE89A88" w14:textId="2D20EE9C" w:rsidR="000D62C9" w:rsidRPr="00846EEE" w:rsidRDefault="000D62C9" w:rsidP="00997EF7">
                        <w:pPr>
                          <w:spacing w:after="0"/>
                          <w:jc w:val="right"/>
                          <w:rPr>
                            <w:rFonts w:asciiTheme="minorHAnsi" w:hAnsiTheme="minorHAnsi" w:cstheme="minorHAnsi"/>
                            <w:bCs/>
                            <w:color w:val="000000"/>
                            <w:sz w:val="18"/>
                            <w:szCs w:val="18"/>
                          </w:rPr>
                        </w:pPr>
                        <w:r w:rsidRPr="00846EEE">
                          <w:rPr>
                            <w:rFonts w:asciiTheme="minorHAnsi" w:hAnsiTheme="minorHAnsi" w:cstheme="minorHAnsi"/>
                            <w:bCs/>
                            <w:color w:val="000000"/>
                            <w:sz w:val="18"/>
                            <w:szCs w:val="18"/>
                            <w:lang w:val="en-US" w:bidi="en-US"/>
                          </w:rPr>
                          <w:t>As at</w:t>
                        </w:r>
                        <w:r w:rsidRPr="00846EEE">
                          <w:rPr>
                            <w:rFonts w:asciiTheme="minorHAnsi" w:hAnsiTheme="minorHAnsi" w:cstheme="minorHAnsi"/>
                            <w:bCs/>
                            <w:color w:val="000000"/>
                            <w:sz w:val="18"/>
                            <w:szCs w:val="18"/>
                            <w:lang w:val="en-US" w:bidi="en-US"/>
                          </w:rPr>
                          <w:br/>
                          <w:t>31 Jan</w:t>
                        </w:r>
                        <w:r>
                          <w:rPr>
                            <w:rFonts w:asciiTheme="minorHAnsi" w:hAnsiTheme="minorHAnsi" w:cstheme="minorHAnsi"/>
                            <w:bCs/>
                            <w:color w:val="000000"/>
                            <w:sz w:val="18"/>
                            <w:szCs w:val="18"/>
                            <w:lang w:val="en-US" w:bidi="en-US"/>
                          </w:rPr>
                          <w:t>uary</w:t>
                        </w:r>
                        <w:r w:rsidRPr="00846EEE">
                          <w:rPr>
                            <w:rFonts w:asciiTheme="minorHAnsi" w:hAnsiTheme="minorHAnsi" w:cstheme="minorHAnsi"/>
                            <w:bCs/>
                            <w:color w:val="000000"/>
                            <w:sz w:val="18"/>
                            <w:szCs w:val="18"/>
                            <w:lang w:val="en-US" w:bidi="en-US"/>
                          </w:rPr>
                          <w:t xml:space="preserve"> 2022</w:t>
                        </w:r>
                      </w:p>
                    </w:tc>
                    <w:tc>
                      <w:tcPr>
                        <w:tcW w:w="1538" w:type="dxa"/>
                        <w:tcBorders>
                          <w:top w:val="nil"/>
                          <w:left w:val="nil"/>
                          <w:bottom w:val="nil"/>
                          <w:right w:val="nil"/>
                        </w:tcBorders>
                        <w:shd w:val="clear" w:color="auto" w:fill="auto"/>
                        <w:vAlign w:val="bottom"/>
                      </w:tcPr>
                      <w:p w14:paraId="69986B72" w14:textId="77777777" w:rsidR="000D62C9" w:rsidRPr="00846EEE" w:rsidRDefault="000D62C9" w:rsidP="00C264D1">
                        <w:pPr>
                          <w:spacing w:after="0" w:line="240" w:lineRule="auto"/>
                          <w:jc w:val="right"/>
                          <w:rPr>
                            <w:rFonts w:asciiTheme="minorHAnsi" w:hAnsiTheme="minorHAnsi" w:cstheme="minorHAnsi"/>
                            <w:bCs/>
                            <w:color w:val="000000"/>
                            <w:sz w:val="18"/>
                            <w:szCs w:val="18"/>
                            <w:lang w:val="en-US" w:bidi="en-US"/>
                          </w:rPr>
                        </w:pPr>
                        <w:r w:rsidRPr="00846EEE">
                          <w:rPr>
                            <w:rFonts w:asciiTheme="minorHAnsi" w:hAnsiTheme="minorHAnsi" w:cstheme="minorHAnsi"/>
                            <w:bCs/>
                            <w:color w:val="000000"/>
                            <w:sz w:val="18"/>
                            <w:szCs w:val="18"/>
                            <w:lang w:val="en-US" w:bidi="en-US"/>
                          </w:rPr>
                          <w:t xml:space="preserve">As at </w:t>
                        </w:r>
                      </w:p>
                      <w:p w14:paraId="735018B4" w14:textId="65D63F4C" w:rsidR="000D62C9" w:rsidRPr="00846EEE" w:rsidRDefault="000D62C9" w:rsidP="00C264D1">
                        <w:pPr>
                          <w:spacing w:after="0" w:line="240" w:lineRule="auto"/>
                          <w:jc w:val="right"/>
                          <w:rPr>
                            <w:rFonts w:asciiTheme="minorHAnsi" w:hAnsiTheme="minorHAnsi" w:cstheme="minorHAnsi"/>
                            <w:bCs/>
                            <w:color w:val="000000"/>
                            <w:sz w:val="18"/>
                            <w:szCs w:val="18"/>
                            <w:lang w:val="en-US" w:bidi="en-US"/>
                          </w:rPr>
                        </w:pPr>
                        <w:r w:rsidRPr="00846EEE">
                          <w:rPr>
                            <w:rFonts w:asciiTheme="minorHAnsi" w:hAnsiTheme="minorHAnsi" w:cstheme="minorHAnsi"/>
                            <w:bCs/>
                            <w:color w:val="000000"/>
                            <w:sz w:val="18"/>
                            <w:szCs w:val="18"/>
                            <w:lang w:bidi="en-US"/>
                          </w:rPr>
                          <w:t>31 Jul</w:t>
                        </w:r>
                        <w:r>
                          <w:rPr>
                            <w:rFonts w:asciiTheme="minorHAnsi" w:hAnsiTheme="minorHAnsi" w:cstheme="minorHAnsi"/>
                            <w:bCs/>
                            <w:color w:val="000000"/>
                            <w:sz w:val="18"/>
                            <w:szCs w:val="18"/>
                            <w:lang w:bidi="en-US"/>
                          </w:rPr>
                          <w:t>y</w:t>
                        </w:r>
                        <w:r w:rsidRPr="00846EEE">
                          <w:rPr>
                            <w:rFonts w:asciiTheme="minorHAnsi" w:hAnsiTheme="minorHAnsi" w:cstheme="minorHAnsi"/>
                            <w:bCs/>
                            <w:color w:val="000000"/>
                            <w:sz w:val="18"/>
                            <w:szCs w:val="18"/>
                            <w:lang w:bidi="en-US"/>
                          </w:rPr>
                          <w:t xml:space="preserve"> 2022</w:t>
                        </w:r>
                      </w:p>
                    </w:tc>
                  </w:tr>
                  <w:tr w:rsidR="00C264D1" w:rsidRPr="00551D5A" w14:paraId="1CEE4588" w14:textId="77777777" w:rsidTr="00997EF7">
                    <w:tc>
                      <w:tcPr>
                        <w:tcW w:w="4857" w:type="dxa"/>
                        <w:tcBorders>
                          <w:top w:val="nil"/>
                          <w:left w:val="nil"/>
                          <w:bottom w:val="single" w:sz="4" w:space="0" w:color="auto"/>
                          <w:right w:val="nil"/>
                        </w:tcBorders>
                        <w:shd w:val="clear" w:color="auto" w:fill="auto"/>
                      </w:tcPr>
                      <w:p w14:paraId="290785EB" w14:textId="77777777" w:rsidR="00C264D1" w:rsidRPr="00846EEE" w:rsidRDefault="00C264D1" w:rsidP="00C264D1">
                        <w:pPr>
                          <w:spacing w:after="0" w:line="240" w:lineRule="auto"/>
                          <w:rPr>
                            <w:rFonts w:asciiTheme="minorHAnsi" w:hAnsiTheme="minorHAnsi" w:cstheme="minorHAnsi"/>
                            <w:b/>
                            <w:bCs/>
                            <w:color w:val="000000"/>
                            <w:sz w:val="18"/>
                            <w:szCs w:val="18"/>
                            <w:lang w:val="en-US" w:bidi="en-US"/>
                          </w:rPr>
                        </w:pPr>
                      </w:p>
                    </w:tc>
                    <w:tc>
                      <w:tcPr>
                        <w:tcW w:w="1537" w:type="dxa"/>
                        <w:tcBorders>
                          <w:top w:val="nil"/>
                          <w:left w:val="nil"/>
                          <w:bottom w:val="single" w:sz="4" w:space="0" w:color="auto"/>
                          <w:right w:val="nil"/>
                        </w:tcBorders>
                        <w:shd w:val="clear" w:color="auto" w:fill="auto"/>
                        <w:vAlign w:val="center"/>
                      </w:tcPr>
                      <w:p w14:paraId="20A93E52" w14:textId="3FFDD154" w:rsidR="00C264D1" w:rsidRPr="00846EEE" w:rsidRDefault="00C264D1" w:rsidP="00C264D1">
                        <w:pPr>
                          <w:spacing w:after="0" w:line="240" w:lineRule="auto"/>
                          <w:jc w:val="right"/>
                          <w:rPr>
                            <w:rFonts w:asciiTheme="minorHAnsi" w:hAnsiTheme="minorHAnsi" w:cstheme="minorHAnsi"/>
                            <w:b/>
                            <w:bCs/>
                            <w:color w:val="000000"/>
                            <w:sz w:val="18"/>
                            <w:szCs w:val="18"/>
                            <w:lang w:val="en-US" w:bidi="en-US"/>
                          </w:rPr>
                        </w:pPr>
                        <w:r w:rsidRPr="00846EEE">
                          <w:rPr>
                            <w:rFonts w:asciiTheme="minorHAnsi" w:hAnsiTheme="minorHAnsi" w:cstheme="minorHAnsi"/>
                            <w:b/>
                            <w:bCs/>
                            <w:sz w:val="18"/>
                            <w:szCs w:val="18"/>
                          </w:rPr>
                          <w:t>£’000</w:t>
                        </w:r>
                      </w:p>
                    </w:tc>
                    <w:tc>
                      <w:tcPr>
                        <w:tcW w:w="1537" w:type="dxa"/>
                        <w:tcBorders>
                          <w:top w:val="nil"/>
                          <w:left w:val="nil"/>
                          <w:bottom w:val="single" w:sz="4" w:space="0" w:color="auto"/>
                          <w:right w:val="nil"/>
                        </w:tcBorders>
                        <w:vAlign w:val="center"/>
                      </w:tcPr>
                      <w:p w14:paraId="17C8A13D" w14:textId="07544FA6" w:rsidR="00C264D1" w:rsidRPr="00846EEE" w:rsidRDefault="00C264D1" w:rsidP="00C264D1">
                        <w:pPr>
                          <w:spacing w:after="0" w:line="240" w:lineRule="auto"/>
                          <w:jc w:val="right"/>
                          <w:rPr>
                            <w:rFonts w:asciiTheme="minorHAnsi" w:hAnsiTheme="minorHAnsi" w:cstheme="minorHAnsi"/>
                            <w:bCs/>
                            <w:color w:val="000000"/>
                            <w:sz w:val="18"/>
                            <w:szCs w:val="18"/>
                            <w:lang w:val="en-US" w:bidi="en-US"/>
                          </w:rPr>
                        </w:pPr>
                        <w:r w:rsidRPr="00002756">
                          <w:rPr>
                            <w:rFonts w:asciiTheme="minorHAnsi" w:hAnsiTheme="minorHAnsi" w:cstheme="minorHAnsi"/>
                            <w:sz w:val="18"/>
                            <w:szCs w:val="18"/>
                          </w:rPr>
                          <w:t>£’000</w:t>
                        </w:r>
                      </w:p>
                    </w:tc>
                    <w:tc>
                      <w:tcPr>
                        <w:tcW w:w="1538" w:type="dxa"/>
                        <w:tcBorders>
                          <w:top w:val="nil"/>
                          <w:left w:val="nil"/>
                          <w:bottom w:val="single" w:sz="4" w:space="0" w:color="auto"/>
                          <w:right w:val="nil"/>
                        </w:tcBorders>
                        <w:shd w:val="clear" w:color="auto" w:fill="auto"/>
                        <w:vAlign w:val="center"/>
                      </w:tcPr>
                      <w:p w14:paraId="06DE65A6" w14:textId="48803566" w:rsidR="00C264D1" w:rsidRPr="00846EEE" w:rsidRDefault="00C264D1" w:rsidP="00C264D1">
                        <w:pPr>
                          <w:spacing w:after="0" w:line="240" w:lineRule="auto"/>
                          <w:jc w:val="right"/>
                          <w:rPr>
                            <w:rFonts w:asciiTheme="minorHAnsi" w:hAnsiTheme="minorHAnsi" w:cstheme="minorHAnsi"/>
                            <w:bCs/>
                            <w:color w:val="000000"/>
                            <w:sz w:val="18"/>
                            <w:szCs w:val="18"/>
                            <w:lang w:val="en-US" w:bidi="en-US"/>
                          </w:rPr>
                        </w:pPr>
                        <w:r w:rsidRPr="00002756">
                          <w:rPr>
                            <w:rFonts w:asciiTheme="minorHAnsi" w:hAnsiTheme="minorHAnsi" w:cstheme="minorHAnsi"/>
                            <w:sz w:val="18"/>
                            <w:szCs w:val="18"/>
                          </w:rPr>
                          <w:t>£’000</w:t>
                        </w:r>
                      </w:p>
                    </w:tc>
                  </w:tr>
                  <w:tr w:rsidR="006F0BD3" w:rsidRPr="00551D5A" w14:paraId="787146A9" w14:textId="77777777" w:rsidTr="00997EF7">
                    <w:tc>
                      <w:tcPr>
                        <w:tcW w:w="4857" w:type="dxa"/>
                        <w:tcBorders>
                          <w:top w:val="single" w:sz="4" w:space="0" w:color="auto"/>
                          <w:bottom w:val="nil"/>
                        </w:tcBorders>
                        <w:shd w:val="clear" w:color="auto" w:fill="auto"/>
                      </w:tcPr>
                      <w:p w14:paraId="7B8D4223" w14:textId="39157621" w:rsidR="006F0BD3" w:rsidRPr="00846EEE" w:rsidRDefault="006F0BD3" w:rsidP="00997EF7">
                        <w:pPr>
                          <w:spacing w:after="0" w:line="240" w:lineRule="auto"/>
                          <w:ind w:hanging="68"/>
                          <w:rPr>
                            <w:rFonts w:asciiTheme="minorHAnsi" w:hAnsiTheme="minorHAnsi" w:cstheme="minorHAnsi"/>
                            <w:color w:val="000000"/>
                            <w:sz w:val="18"/>
                            <w:szCs w:val="18"/>
                            <w:lang w:val="en-US" w:bidi="en-US"/>
                          </w:rPr>
                        </w:pPr>
                        <w:r w:rsidRPr="00846EEE">
                          <w:rPr>
                            <w:rFonts w:asciiTheme="minorHAnsi" w:hAnsiTheme="minorHAnsi" w:cstheme="minorHAnsi"/>
                            <w:color w:val="000000"/>
                            <w:sz w:val="18"/>
                            <w:szCs w:val="18"/>
                            <w:lang w:val="en-US" w:bidi="en-US"/>
                          </w:rPr>
                          <w:t>Trade receivables</w:t>
                        </w:r>
                        <w:r w:rsidR="000D2567">
                          <w:rPr>
                            <w:rFonts w:asciiTheme="minorHAnsi" w:hAnsiTheme="minorHAnsi" w:cstheme="minorHAnsi"/>
                            <w:color w:val="000000"/>
                            <w:sz w:val="18"/>
                            <w:szCs w:val="18"/>
                            <w:lang w:val="en-US" w:bidi="en-US"/>
                          </w:rPr>
                          <w:t xml:space="preserve"> – held at </w:t>
                        </w:r>
                        <w:proofErr w:type="spellStart"/>
                        <w:r w:rsidR="000D2567">
                          <w:rPr>
                            <w:rFonts w:asciiTheme="minorHAnsi" w:hAnsiTheme="minorHAnsi" w:cstheme="minorHAnsi"/>
                            <w:color w:val="000000"/>
                            <w:sz w:val="18"/>
                            <w:szCs w:val="18"/>
                            <w:lang w:val="en-US" w:bidi="en-US"/>
                          </w:rPr>
                          <w:t>amortised</w:t>
                        </w:r>
                        <w:proofErr w:type="spellEnd"/>
                        <w:r w:rsidR="000D2567">
                          <w:rPr>
                            <w:rFonts w:asciiTheme="minorHAnsi" w:hAnsiTheme="minorHAnsi" w:cstheme="minorHAnsi"/>
                            <w:color w:val="000000"/>
                            <w:sz w:val="18"/>
                            <w:szCs w:val="18"/>
                            <w:lang w:val="en-US" w:bidi="en-US"/>
                          </w:rPr>
                          <w:t xml:space="preserve"> cost</w:t>
                        </w:r>
                      </w:p>
                    </w:tc>
                    <w:tc>
                      <w:tcPr>
                        <w:tcW w:w="1537" w:type="dxa"/>
                        <w:tcBorders>
                          <w:top w:val="single" w:sz="4" w:space="0" w:color="auto"/>
                          <w:bottom w:val="nil"/>
                        </w:tcBorders>
                        <w:shd w:val="clear" w:color="auto" w:fill="auto"/>
                      </w:tcPr>
                      <w:p w14:paraId="752F340B" w14:textId="4C0297AE" w:rsidR="006F0BD3" w:rsidRPr="00846EEE" w:rsidRDefault="00C264D1" w:rsidP="006F0BD3">
                        <w:pPr>
                          <w:spacing w:after="0" w:line="240" w:lineRule="auto"/>
                          <w:jc w:val="right"/>
                          <w:rPr>
                            <w:rStyle w:val="SubtleEmphasis"/>
                            <w:rFonts w:asciiTheme="minorHAnsi" w:hAnsiTheme="minorHAnsi" w:cstheme="minorHAnsi"/>
                            <w:b/>
                            <w:i w:val="0"/>
                            <w:color w:val="000000"/>
                            <w:sz w:val="18"/>
                            <w:szCs w:val="18"/>
                            <w:lang w:bidi="en-US"/>
                          </w:rPr>
                        </w:pPr>
                        <w:r>
                          <w:rPr>
                            <w:rStyle w:val="SubtleEmphasis"/>
                            <w:rFonts w:asciiTheme="minorHAnsi" w:hAnsiTheme="minorHAnsi" w:cstheme="minorHAnsi"/>
                            <w:b/>
                            <w:i w:val="0"/>
                            <w:color w:val="000000"/>
                            <w:sz w:val="18"/>
                            <w:szCs w:val="18"/>
                            <w:lang w:bidi="en-US"/>
                          </w:rPr>
                          <w:t>3</w:t>
                        </w:r>
                        <w:r w:rsidR="00671029">
                          <w:rPr>
                            <w:rStyle w:val="SubtleEmphasis"/>
                            <w:rFonts w:asciiTheme="minorHAnsi" w:hAnsiTheme="minorHAnsi" w:cstheme="minorHAnsi"/>
                            <w:b/>
                            <w:i w:val="0"/>
                            <w:color w:val="000000"/>
                            <w:sz w:val="18"/>
                            <w:szCs w:val="18"/>
                            <w:lang w:bidi="en-US"/>
                          </w:rPr>
                          <w:t>2</w:t>
                        </w:r>
                        <w:r>
                          <w:rPr>
                            <w:rStyle w:val="SubtleEmphasis"/>
                            <w:rFonts w:asciiTheme="minorHAnsi" w:hAnsiTheme="minorHAnsi" w:cstheme="minorHAnsi"/>
                            <w:b/>
                            <w:i w:val="0"/>
                            <w:color w:val="000000"/>
                            <w:sz w:val="18"/>
                            <w:szCs w:val="18"/>
                            <w:lang w:bidi="en-US"/>
                          </w:rPr>
                          <w:t>,421</w:t>
                        </w:r>
                      </w:p>
                    </w:tc>
                    <w:tc>
                      <w:tcPr>
                        <w:tcW w:w="1537" w:type="dxa"/>
                        <w:tcBorders>
                          <w:top w:val="single" w:sz="4" w:space="0" w:color="auto"/>
                          <w:bottom w:val="nil"/>
                        </w:tcBorders>
                      </w:tcPr>
                      <w:p w14:paraId="2EEC899A" w14:textId="30C20BB2" w:rsidR="006F0BD3" w:rsidRPr="00846EEE" w:rsidRDefault="006F0BD3" w:rsidP="006F0BD3">
                        <w:pPr>
                          <w:spacing w:after="0" w:line="240" w:lineRule="auto"/>
                          <w:jc w:val="right"/>
                          <w:rPr>
                            <w:rStyle w:val="SubtleEmphasis"/>
                            <w:rFonts w:asciiTheme="minorHAnsi" w:hAnsiTheme="minorHAnsi" w:cstheme="minorHAnsi"/>
                            <w:bCs/>
                            <w:i w:val="0"/>
                            <w:color w:val="000000"/>
                            <w:sz w:val="18"/>
                            <w:szCs w:val="18"/>
                            <w:lang w:bidi="en-US"/>
                          </w:rPr>
                        </w:pPr>
                        <w:r w:rsidRPr="00846EEE">
                          <w:rPr>
                            <w:rStyle w:val="SubtleEmphasis"/>
                            <w:rFonts w:asciiTheme="minorHAnsi" w:hAnsiTheme="minorHAnsi" w:cstheme="minorHAnsi"/>
                            <w:bCs/>
                            <w:i w:val="0"/>
                            <w:color w:val="000000"/>
                            <w:sz w:val="18"/>
                            <w:szCs w:val="18"/>
                            <w:lang w:bidi="en-US"/>
                          </w:rPr>
                          <w:t>36,656</w:t>
                        </w:r>
                      </w:p>
                    </w:tc>
                    <w:tc>
                      <w:tcPr>
                        <w:tcW w:w="1538" w:type="dxa"/>
                        <w:tcBorders>
                          <w:top w:val="single" w:sz="4" w:space="0" w:color="auto"/>
                          <w:bottom w:val="nil"/>
                        </w:tcBorders>
                        <w:shd w:val="clear" w:color="auto" w:fill="auto"/>
                      </w:tcPr>
                      <w:p w14:paraId="4367994F" w14:textId="2605E23C" w:rsidR="006F0BD3" w:rsidRPr="00846EEE" w:rsidRDefault="000D2567" w:rsidP="006F0BD3">
                        <w:pPr>
                          <w:spacing w:after="0" w:line="240" w:lineRule="auto"/>
                          <w:jc w:val="right"/>
                          <w:rPr>
                            <w:rFonts w:asciiTheme="minorHAnsi" w:hAnsiTheme="minorHAnsi" w:cstheme="minorHAnsi"/>
                            <w:color w:val="000000"/>
                            <w:sz w:val="18"/>
                            <w:szCs w:val="18"/>
                            <w:lang w:val="en-US" w:bidi="en-US"/>
                          </w:rPr>
                        </w:pPr>
                        <w:r>
                          <w:rPr>
                            <w:rFonts w:asciiTheme="minorHAnsi" w:hAnsiTheme="minorHAnsi" w:cstheme="minorHAnsi"/>
                            <w:color w:val="000000"/>
                            <w:sz w:val="18"/>
                            <w:szCs w:val="18"/>
                            <w:lang w:val="en-US" w:bidi="en-US"/>
                          </w:rPr>
                          <w:t>30,643</w:t>
                        </w:r>
                      </w:p>
                    </w:tc>
                  </w:tr>
                  <w:tr w:rsidR="006F0BD3" w:rsidRPr="00551D5A" w14:paraId="1C60E990" w14:textId="77777777" w:rsidTr="00997EF7">
                    <w:tc>
                      <w:tcPr>
                        <w:tcW w:w="4857" w:type="dxa"/>
                        <w:tcBorders>
                          <w:top w:val="nil"/>
                          <w:bottom w:val="nil"/>
                        </w:tcBorders>
                        <w:shd w:val="clear" w:color="auto" w:fill="auto"/>
                      </w:tcPr>
                      <w:p w14:paraId="2CB0AEDE" w14:textId="77777777" w:rsidR="006F0BD3" w:rsidRPr="00846EEE" w:rsidRDefault="006F0BD3" w:rsidP="00997EF7">
                        <w:pPr>
                          <w:spacing w:after="0" w:line="240" w:lineRule="auto"/>
                          <w:ind w:hanging="68"/>
                          <w:rPr>
                            <w:rFonts w:asciiTheme="minorHAnsi" w:hAnsiTheme="minorHAnsi" w:cstheme="minorHAnsi"/>
                            <w:color w:val="000000"/>
                            <w:sz w:val="18"/>
                            <w:szCs w:val="18"/>
                            <w:lang w:val="en-US" w:bidi="en-US"/>
                          </w:rPr>
                        </w:pPr>
                        <w:r w:rsidRPr="00846EEE">
                          <w:rPr>
                            <w:rFonts w:asciiTheme="minorHAnsi" w:hAnsiTheme="minorHAnsi" w:cstheme="minorHAnsi"/>
                            <w:color w:val="000000"/>
                            <w:sz w:val="18"/>
                            <w:szCs w:val="18"/>
                            <w:lang w:val="en-US" w:bidi="en-US"/>
                          </w:rPr>
                          <w:t>Derivative financial instruments - assets</w:t>
                        </w:r>
                      </w:p>
                    </w:tc>
                    <w:tc>
                      <w:tcPr>
                        <w:tcW w:w="1537" w:type="dxa"/>
                        <w:tcBorders>
                          <w:top w:val="nil"/>
                          <w:bottom w:val="nil"/>
                        </w:tcBorders>
                        <w:shd w:val="clear" w:color="auto" w:fill="auto"/>
                      </w:tcPr>
                      <w:p w14:paraId="11313CAA" w14:textId="03CAF946" w:rsidR="006F0BD3" w:rsidRPr="00846EEE" w:rsidRDefault="009D69FC" w:rsidP="006F0BD3">
                        <w:pPr>
                          <w:spacing w:after="0" w:line="240" w:lineRule="auto"/>
                          <w:jc w:val="right"/>
                          <w:rPr>
                            <w:rStyle w:val="SubtleEmphasis"/>
                            <w:rFonts w:asciiTheme="minorHAnsi" w:hAnsiTheme="minorHAnsi" w:cstheme="minorHAnsi"/>
                            <w:b/>
                            <w:i w:val="0"/>
                            <w:color w:val="000000"/>
                            <w:sz w:val="18"/>
                            <w:szCs w:val="18"/>
                            <w:lang w:bidi="en-US"/>
                          </w:rPr>
                        </w:pPr>
                        <w:r>
                          <w:rPr>
                            <w:rStyle w:val="SubtleEmphasis"/>
                            <w:rFonts w:asciiTheme="minorHAnsi" w:hAnsiTheme="minorHAnsi" w:cstheme="minorHAnsi"/>
                            <w:b/>
                            <w:i w:val="0"/>
                            <w:color w:val="000000"/>
                            <w:sz w:val="18"/>
                            <w:szCs w:val="18"/>
                            <w:lang w:bidi="en-US"/>
                          </w:rPr>
                          <w:t>913</w:t>
                        </w:r>
                      </w:p>
                    </w:tc>
                    <w:tc>
                      <w:tcPr>
                        <w:tcW w:w="1537" w:type="dxa"/>
                        <w:tcBorders>
                          <w:top w:val="nil"/>
                          <w:bottom w:val="nil"/>
                        </w:tcBorders>
                      </w:tcPr>
                      <w:p w14:paraId="28F0FA36" w14:textId="0262CF68" w:rsidR="006F0BD3" w:rsidRPr="00846EEE" w:rsidRDefault="006F0BD3" w:rsidP="006F0BD3">
                        <w:pPr>
                          <w:spacing w:after="0" w:line="240" w:lineRule="auto"/>
                          <w:jc w:val="right"/>
                          <w:rPr>
                            <w:rStyle w:val="SubtleEmphasis"/>
                            <w:rFonts w:asciiTheme="minorHAnsi" w:hAnsiTheme="minorHAnsi" w:cstheme="minorHAnsi"/>
                            <w:bCs/>
                            <w:i w:val="0"/>
                            <w:color w:val="000000"/>
                            <w:sz w:val="18"/>
                            <w:szCs w:val="18"/>
                            <w:lang w:bidi="en-US"/>
                          </w:rPr>
                        </w:pPr>
                        <w:r w:rsidRPr="00846EEE">
                          <w:rPr>
                            <w:rStyle w:val="SubtleEmphasis"/>
                            <w:rFonts w:asciiTheme="minorHAnsi" w:hAnsiTheme="minorHAnsi" w:cstheme="minorHAnsi"/>
                            <w:bCs/>
                            <w:i w:val="0"/>
                            <w:color w:val="000000"/>
                            <w:sz w:val="18"/>
                            <w:szCs w:val="18"/>
                            <w:lang w:bidi="en-US"/>
                          </w:rPr>
                          <w:t>1,327</w:t>
                        </w:r>
                      </w:p>
                    </w:tc>
                    <w:tc>
                      <w:tcPr>
                        <w:tcW w:w="1538" w:type="dxa"/>
                        <w:tcBorders>
                          <w:top w:val="nil"/>
                          <w:bottom w:val="nil"/>
                        </w:tcBorders>
                        <w:shd w:val="clear" w:color="auto" w:fill="auto"/>
                      </w:tcPr>
                      <w:p w14:paraId="3FBBA2CA" w14:textId="4652F999" w:rsidR="006F0BD3" w:rsidRPr="00846EEE" w:rsidRDefault="000D2567" w:rsidP="006F0BD3">
                        <w:pPr>
                          <w:spacing w:after="0" w:line="240" w:lineRule="auto"/>
                          <w:jc w:val="right"/>
                          <w:rPr>
                            <w:rFonts w:asciiTheme="minorHAnsi" w:hAnsiTheme="minorHAnsi" w:cstheme="minorHAnsi"/>
                            <w:color w:val="000000"/>
                            <w:sz w:val="18"/>
                            <w:szCs w:val="18"/>
                            <w:lang w:val="en-US" w:bidi="en-US"/>
                          </w:rPr>
                        </w:pPr>
                        <w:r>
                          <w:rPr>
                            <w:rFonts w:asciiTheme="minorHAnsi" w:hAnsiTheme="minorHAnsi" w:cstheme="minorHAnsi"/>
                            <w:color w:val="000000"/>
                            <w:sz w:val="18"/>
                            <w:szCs w:val="18"/>
                            <w:lang w:val="en-US" w:bidi="en-US"/>
                          </w:rPr>
                          <w:t>4,142</w:t>
                        </w:r>
                      </w:p>
                    </w:tc>
                  </w:tr>
                  <w:tr w:rsidR="006F0BD3" w:rsidRPr="00551D5A" w14:paraId="1C69EB55" w14:textId="77777777" w:rsidTr="00997EF7">
                    <w:tc>
                      <w:tcPr>
                        <w:tcW w:w="4857" w:type="dxa"/>
                        <w:tcBorders>
                          <w:top w:val="nil"/>
                          <w:bottom w:val="nil"/>
                        </w:tcBorders>
                        <w:shd w:val="clear" w:color="auto" w:fill="auto"/>
                      </w:tcPr>
                      <w:p w14:paraId="4CED0C68" w14:textId="77777777" w:rsidR="006F0BD3" w:rsidRPr="00846EEE" w:rsidRDefault="006F0BD3" w:rsidP="00997EF7">
                        <w:pPr>
                          <w:spacing w:after="0" w:line="240" w:lineRule="auto"/>
                          <w:ind w:hanging="68"/>
                          <w:rPr>
                            <w:rFonts w:asciiTheme="minorHAnsi" w:hAnsiTheme="minorHAnsi" w:cstheme="minorHAnsi"/>
                            <w:color w:val="000000"/>
                            <w:sz w:val="18"/>
                            <w:szCs w:val="18"/>
                            <w:lang w:val="en-US" w:bidi="en-US"/>
                          </w:rPr>
                        </w:pPr>
                        <w:r w:rsidRPr="00846EEE">
                          <w:rPr>
                            <w:rFonts w:asciiTheme="minorHAnsi" w:hAnsiTheme="minorHAnsi" w:cstheme="minorHAnsi"/>
                            <w:color w:val="000000"/>
                            <w:sz w:val="18"/>
                            <w:szCs w:val="18"/>
                            <w:lang w:val="en-US" w:bidi="en-US"/>
                          </w:rPr>
                          <w:t>Trade and other payables</w:t>
                        </w:r>
                      </w:p>
                    </w:tc>
                    <w:tc>
                      <w:tcPr>
                        <w:tcW w:w="1537" w:type="dxa"/>
                        <w:tcBorders>
                          <w:top w:val="nil"/>
                          <w:bottom w:val="nil"/>
                        </w:tcBorders>
                        <w:shd w:val="clear" w:color="auto" w:fill="auto"/>
                      </w:tcPr>
                      <w:p w14:paraId="3D01DC7B" w14:textId="775D7BB0" w:rsidR="006F0BD3" w:rsidRPr="00846EEE" w:rsidRDefault="00671029" w:rsidP="006F0BD3">
                        <w:pPr>
                          <w:spacing w:after="0" w:line="240" w:lineRule="auto"/>
                          <w:jc w:val="right"/>
                          <w:rPr>
                            <w:rStyle w:val="SubtleEmphasis"/>
                            <w:rFonts w:asciiTheme="minorHAnsi" w:hAnsiTheme="minorHAnsi" w:cstheme="minorHAnsi"/>
                            <w:b/>
                            <w:i w:val="0"/>
                            <w:color w:val="000000"/>
                            <w:sz w:val="18"/>
                            <w:szCs w:val="18"/>
                            <w:lang w:bidi="en-US"/>
                          </w:rPr>
                        </w:pPr>
                        <w:r>
                          <w:rPr>
                            <w:rStyle w:val="SubtleEmphasis"/>
                            <w:rFonts w:asciiTheme="minorHAnsi" w:hAnsiTheme="minorHAnsi" w:cstheme="minorHAnsi"/>
                            <w:b/>
                            <w:i w:val="0"/>
                            <w:color w:val="000000"/>
                            <w:sz w:val="18"/>
                            <w:szCs w:val="18"/>
                            <w:lang w:bidi="en-US"/>
                          </w:rPr>
                          <w:t>(27,8</w:t>
                        </w:r>
                        <w:r w:rsidR="00D71434">
                          <w:rPr>
                            <w:rStyle w:val="SubtleEmphasis"/>
                            <w:rFonts w:asciiTheme="minorHAnsi" w:hAnsiTheme="minorHAnsi" w:cstheme="minorHAnsi"/>
                            <w:b/>
                            <w:i w:val="0"/>
                            <w:color w:val="000000"/>
                            <w:sz w:val="18"/>
                            <w:szCs w:val="18"/>
                            <w:lang w:bidi="en-US"/>
                          </w:rPr>
                          <w:t>35</w:t>
                        </w:r>
                        <w:r>
                          <w:rPr>
                            <w:rStyle w:val="SubtleEmphasis"/>
                            <w:rFonts w:asciiTheme="minorHAnsi" w:hAnsiTheme="minorHAnsi" w:cstheme="minorHAnsi"/>
                            <w:b/>
                            <w:i w:val="0"/>
                            <w:color w:val="000000"/>
                            <w:sz w:val="18"/>
                            <w:szCs w:val="18"/>
                            <w:lang w:bidi="en-US"/>
                          </w:rPr>
                          <w:t>)</w:t>
                        </w:r>
                      </w:p>
                    </w:tc>
                    <w:tc>
                      <w:tcPr>
                        <w:tcW w:w="1537" w:type="dxa"/>
                        <w:tcBorders>
                          <w:top w:val="nil"/>
                          <w:bottom w:val="nil"/>
                        </w:tcBorders>
                      </w:tcPr>
                      <w:p w14:paraId="0B742757" w14:textId="0A2B09F5" w:rsidR="006F0BD3" w:rsidRPr="00846EEE" w:rsidRDefault="006F0BD3" w:rsidP="006F0BD3">
                        <w:pPr>
                          <w:spacing w:after="0" w:line="240" w:lineRule="auto"/>
                          <w:jc w:val="right"/>
                          <w:rPr>
                            <w:rStyle w:val="SubtleEmphasis"/>
                            <w:rFonts w:asciiTheme="minorHAnsi" w:hAnsiTheme="minorHAnsi" w:cstheme="minorHAnsi"/>
                            <w:bCs/>
                            <w:i w:val="0"/>
                            <w:color w:val="000000"/>
                            <w:sz w:val="18"/>
                            <w:szCs w:val="18"/>
                            <w:lang w:bidi="en-US"/>
                          </w:rPr>
                        </w:pPr>
                        <w:r w:rsidRPr="00846EEE">
                          <w:rPr>
                            <w:rStyle w:val="SubtleEmphasis"/>
                            <w:rFonts w:asciiTheme="minorHAnsi" w:hAnsiTheme="minorHAnsi" w:cstheme="minorHAnsi"/>
                            <w:bCs/>
                            <w:i w:val="0"/>
                            <w:color w:val="000000"/>
                            <w:sz w:val="18"/>
                            <w:szCs w:val="18"/>
                            <w:lang w:bidi="en-US"/>
                          </w:rPr>
                          <w:t>(26,966)</w:t>
                        </w:r>
                      </w:p>
                    </w:tc>
                    <w:tc>
                      <w:tcPr>
                        <w:tcW w:w="1538" w:type="dxa"/>
                        <w:tcBorders>
                          <w:top w:val="nil"/>
                          <w:bottom w:val="nil"/>
                        </w:tcBorders>
                        <w:shd w:val="clear" w:color="auto" w:fill="auto"/>
                      </w:tcPr>
                      <w:p w14:paraId="0215E11E" w14:textId="13868AF6" w:rsidR="006F0BD3" w:rsidRPr="00846EEE" w:rsidRDefault="000D2567" w:rsidP="006F0BD3">
                        <w:pPr>
                          <w:spacing w:after="0" w:line="240" w:lineRule="auto"/>
                          <w:jc w:val="right"/>
                          <w:rPr>
                            <w:rFonts w:asciiTheme="minorHAnsi" w:hAnsiTheme="minorHAnsi" w:cstheme="minorHAnsi"/>
                            <w:color w:val="000000"/>
                            <w:sz w:val="18"/>
                            <w:szCs w:val="18"/>
                            <w:lang w:val="en-US" w:bidi="en-US"/>
                          </w:rPr>
                        </w:pPr>
                        <w:r>
                          <w:rPr>
                            <w:rFonts w:asciiTheme="minorHAnsi" w:hAnsiTheme="minorHAnsi" w:cstheme="minorHAnsi"/>
                            <w:color w:val="000000"/>
                            <w:sz w:val="18"/>
                            <w:szCs w:val="18"/>
                            <w:lang w:val="en-US" w:bidi="en-US"/>
                          </w:rPr>
                          <w:t>(28,095)</w:t>
                        </w:r>
                      </w:p>
                    </w:tc>
                  </w:tr>
                  <w:tr w:rsidR="006F0BD3" w:rsidRPr="00551D5A" w14:paraId="396B222F" w14:textId="77777777" w:rsidTr="00997EF7">
                    <w:tc>
                      <w:tcPr>
                        <w:tcW w:w="4857" w:type="dxa"/>
                        <w:tcBorders>
                          <w:top w:val="nil"/>
                          <w:bottom w:val="nil"/>
                        </w:tcBorders>
                        <w:shd w:val="clear" w:color="auto" w:fill="auto"/>
                      </w:tcPr>
                      <w:p w14:paraId="2675CE89" w14:textId="77777777" w:rsidR="006F0BD3" w:rsidRPr="00846EEE" w:rsidRDefault="006F0BD3" w:rsidP="00997EF7">
                        <w:pPr>
                          <w:spacing w:after="0" w:line="240" w:lineRule="auto"/>
                          <w:ind w:hanging="68"/>
                          <w:rPr>
                            <w:rFonts w:asciiTheme="minorHAnsi" w:hAnsiTheme="minorHAnsi" w:cstheme="minorHAnsi"/>
                            <w:color w:val="000000"/>
                            <w:sz w:val="18"/>
                            <w:szCs w:val="18"/>
                            <w:lang w:val="en-US" w:bidi="en-US"/>
                          </w:rPr>
                        </w:pPr>
                        <w:r w:rsidRPr="00846EEE">
                          <w:rPr>
                            <w:rFonts w:asciiTheme="minorHAnsi" w:hAnsiTheme="minorHAnsi" w:cstheme="minorHAnsi"/>
                            <w:color w:val="000000"/>
                            <w:sz w:val="18"/>
                            <w:szCs w:val="18"/>
                            <w:lang w:val="en-US" w:bidi="en-US"/>
                          </w:rPr>
                          <w:t>Derivative financial instruments - liabilities</w:t>
                        </w:r>
                      </w:p>
                    </w:tc>
                    <w:tc>
                      <w:tcPr>
                        <w:tcW w:w="1537" w:type="dxa"/>
                        <w:tcBorders>
                          <w:top w:val="nil"/>
                          <w:bottom w:val="nil"/>
                        </w:tcBorders>
                        <w:shd w:val="clear" w:color="auto" w:fill="auto"/>
                      </w:tcPr>
                      <w:p w14:paraId="10812029" w14:textId="7DFF31C3" w:rsidR="006F0BD3" w:rsidRPr="00846EEE" w:rsidRDefault="00C264D1" w:rsidP="006F0BD3">
                        <w:pPr>
                          <w:spacing w:after="0" w:line="240" w:lineRule="auto"/>
                          <w:jc w:val="right"/>
                          <w:rPr>
                            <w:rStyle w:val="SubtleEmphasis"/>
                            <w:rFonts w:asciiTheme="minorHAnsi" w:hAnsiTheme="minorHAnsi" w:cstheme="minorHAnsi"/>
                            <w:b/>
                            <w:i w:val="0"/>
                            <w:color w:val="000000"/>
                            <w:sz w:val="18"/>
                            <w:szCs w:val="18"/>
                            <w:lang w:bidi="en-US"/>
                          </w:rPr>
                        </w:pPr>
                        <w:r>
                          <w:rPr>
                            <w:rStyle w:val="SubtleEmphasis"/>
                            <w:rFonts w:asciiTheme="minorHAnsi" w:hAnsiTheme="minorHAnsi" w:cstheme="minorHAnsi"/>
                            <w:b/>
                            <w:i w:val="0"/>
                            <w:color w:val="000000"/>
                            <w:sz w:val="18"/>
                            <w:szCs w:val="18"/>
                            <w:lang w:bidi="en-US"/>
                          </w:rPr>
                          <w:t>(6</w:t>
                        </w:r>
                        <w:r w:rsidR="009D69FC">
                          <w:rPr>
                            <w:rStyle w:val="SubtleEmphasis"/>
                            <w:rFonts w:asciiTheme="minorHAnsi" w:hAnsiTheme="minorHAnsi" w:cstheme="minorHAnsi"/>
                            <w:b/>
                            <w:i w:val="0"/>
                            <w:color w:val="000000"/>
                            <w:sz w:val="18"/>
                            <w:szCs w:val="18"/>
                            <w:lang w:bidi="en-US"/>
                          </w:rPr>
                          <w:t>73</w:t>
                        </w:r>
                        <w:r w:rsidR="00671029">
                          <w:rPr>
                            <w:rStyle w:val="SubtleEmphasis"/>
                            <w:rFonts w:asciiTheme="minorHAnsi" w:hAnsiTheme="minorHAnsi" w:cstheme="minorHAnsi"/>
                            <w:b/>
                            <w:i w:val="0"/>
                            <w:color w:val="000000"/>
                            <w:sz w:val="18"/>
                            <w:szCs w:val="18"/>
                            <w:lang w:bidi="en-US"/>
                          </w:rPr>
                          <w:t>)</w:t>
                        </w:r>
                      </w:p>
                    </w:tc>
                    <w:tc>
                      <w:tcPr>
                        <w:tcW w:w="1537" w:type="dxa"/>
                        <w:tcBorders>
                          <w:top w:val="nil"/>
                          <w:bottom w:val="nil"/>
                        </w:tcBorders>
                      </w:tcPr>
                      <w:p w14:paraId="44BB75D3" w14:textId="2621C724" w:rsidR="006F0BD3" w:rsidRPr="00846EEE" w:rsidRDefault="006F0BD3" w:rsidP="006F0BD3">
                        <w:pPr>
                          <w:spacing w:after="0" w:line="240" w:lineRule="auto"/>
                          <w:jc w:val="right"/>
                          <w:rPr>
                            <w:rStyle w:val="SubtleEmphasis"/>
                            <w:rFonts w:asciiTheme="minorHAnsi" w:hAnsiTheme="minorHAnsi" w:cstheme="minorHAnsi"/>
                            <w:bCs/>
                            <w:i w:val="0"/>
                            <w:color w:val="000000"/>
                            <w:sz w:val="18"/>
                            <w:szCs w:val="18"/>
                            <w:lang w:bidi="en-US"/>
                          </w:rPr>
                        </w:pPr>
                        <w:r w:rsidRPr="00846EEE">
                          <w:rPr>
                            <w:rStyle w:val="SubtleEmphasis"/>
                            <w:rFonts w:asciiTheme="minorHAnsi" w:hAnsiTheme="minorHAnsi" w:cstheme="minorHAnsi"/>
                            <w:bCs/>
                            <w:i w:val="0"/>
                            <w:color w:val="000000"/>
                            <w:sz w:val="18"/>
                            <w:szCs w:val="18"/>
                            <w:lang w:bidi="en-US"/>
                          </w:rPr>
                          <w:t>-</w:t>
                        </w:r>
                      </w:p>
                    </w:tc>
                    <w:tc>
                      <w:tcPr>
                        <w:tcW w:w="1538" w:type="dxa"/>
                        <w:tcBorders>
                          <w:top w:val="nil"/>
                          <w:bottom w:val="nil"/>
                        </w:tcBorders>
                        <w:shd w:val="clear" w:color="auto" w:fill="auto"/>
                      </w:tcPr>
                      <w:p w14:paraId="66A3EA94" w14:textId="5FC5D5C2" w:rsidR="006F0BD3" w:rsidRPr="00846EEE" w:rsidRDefault="000D2567" w:rsidP="006F0BD3">
                        <w:pPr>
                          <w:spacing w:after="0" w:line="240" w:lineRule="auto"/>
                          <w:jc w:val="right"/>
                          <w:rPr>
                            <w:rFonts w:asciiTheme="minorHAnsi" w:hAnsiTheme="minorHAnsi" w:cstheme="minorHAnsi"/>
                            <w:color w:val="000000"/>
                            <w:sz w:val="18"/>
                            <w:szCs w:val="18"/>
                            <w:lang w:val="en-US" w:bidi="en-US"/>
                          </w:rPr>
                        </w:pPr>
                        <w:r>
                          <w:rPr>
                            <w:rFonts w:asciiTheme="minorHAnsi" w:hAnsiTheme="minorHAnsi" w:cstheme="minorHAnsi"/>
                            <w:color w:val="000000"/>
                            <w:sz w:val="18"/>
                            <w:szCs w:val="18"/>
                            <w:lang w:val="en-US" w:bidi="en-US"/>
                          </w:rPr>
                          <w:t>-</w:t>
                        </w:r>
                      </w:p>
                    </w:tc>
                  </w:tr>
                  <w:tr w:rsidR="006F0BD3" w:rsidRPr="00551D5A" w14:paraId="45E166E3" w14:textId="77777777" w:rsidTr="00997EF7">
                    <w:tc>
                      <w:tcPr>
                        <w:tcW w:w="4857" w:type="dxa"/>
                        <w:tcBorders>
                          <w:top w:val="nil"/>
                          <w:bottom w:val="nil"/>
                        </w:tcBorders>
                        <w:shd w:val="clear" w:color="auto" w:fill="auto"/>
                      </w:tcPr>
                      <w:p w14:paraId="5E0B268F" w14:textId="77777777" w:rsidR="006F0BD3" w:rsidRPr="00846EEE" w:rsidRDefault="006F0BD3" w:rsidP="00997EF7">
                        <w:pPr>
                          <w:spacing w:after="0" w:line="240" w:lineRule="auto"/>
                          <w:ind w:hanging="68"/>
                          <w:rPr>
                            <w:rFonts w:asciiTheme="minorHAnsi" w:hAnsiTheme="minorHAnsi" w:cstheme="minorHAnsi"/>
                            <w:color w:val="000000"/>
                            <w:sz w:val="18"/>
                            <w:szCs w:val="18"/>
                            <w:lang w:val="en-US" w:bidi="en-US"/>
                          </w:rPr>
                        </w:pPr>
                        <w:r w:rsidRPr="00846EEE">
                          <w:rPr>
                            <w:rFonts w:asciiTheme="minorHAnsi" w:hAnsiTheme="minorHAnsi" w:cstheme="minorHAnsi"/>
                            <w:color w:val="000000"/>
                            <w:sz w:val="18"/>
                            <w:szCs w:val="18"/>
                            <w:lang w:val="en-US" w:bidi="en-US"/>
                          </w:rPr>
                          <w:t>Borrowings</w:t>
                        </w:r>
                      </w:p>
                    </w:tc>
                    <w:tc>
                      <w:tcPr>
                        <w:tcW w:w="1537" w:type="dxa"/>
                        <w:tcBorders>
                          <w:top w:val="nil"/>
                          <w:bottom w:val="nil"/>
                        </w:tcBorders>
                        <w:shd w:val="clear" w:color="auto" w:fill="auto"/>
                      </w:tcPr>
                      <w:p w14:paraId="6CD332B5" w14:textId="482AA65C" w:rsidR="006F0BD3" w:rsidRPr="00846EEE" w:rsidRDefault="00671029" w:rsidP="006F0BD3">
                        <w:pPr>
                          <w:spacing w:after="0" w:line="240" w:lineRule="auto"/>
                          <w:jc w:val="right"/>
                          <w:rPr>
                            <w:rStyle w:val="SubtleEmphasis"/>
                            <w:rFonts w:asciiTheme="minorHAnsi" w:hAnsiTheme="minorHAnsi" w:cstheme="minorHAnsi"/>
                            <w:b/>
                            <w:i w:val="0"/>
                            <w:color w:val="000000"/>
                            <w:sz w:val="18"/>
                            <w:szCs w:val="18"/>
                            <w:lang w:bidi="en-US"/>
                          </w:rPr>
                        </w:pPr>
                        <w:r>
                          <w:rPr>
                            <w:rStyle w:val="SubtleEmphasis"/>
                            <w:rFonts w:asciiTheme="minorHAnsi" w:hAnsiTheme="minorHAnsi" w:cstheme="minorHAnsi"/>
                            <w:b/>
                            <w:i w:val="0"/>
                            <w:color w:val="000000"/>
                            <w:sz w:val="18"/>
                            <w:szCs w:val="18"/>
                            <w:lang w:bidi="en-US"/>
                          </w:rPr>
                          <w:t>(24,392)</w:t>
                        </w:r>
                      </w:p>
                    </w:tc>
                    <w:tc>
                      <w:tcPr>
                        <w:tcW w:w="1537" w:type="dxa"/>
                        <w:tcBorders>
                          <w:top w:val="nil"/>
                          <w:bottom w:val="nil"/>
                        </w:tcBorders>
                      </w:tcPr>
                      <w:p w14:paraId="7D4D4622" w14:textId="476E711E" w:rsidR="006F0BD3" w:rsidRPr="00846EEE" w:rsidRDefault="006F0BD3" w:rsidP="006F0BD3">
                        <w:pPr>
                          <w:spacing w:after="0" w:line="240" w:lineRule="auto"/>
                          <w:jc w:val="right"/>
                          <w:rPr>
                            <w:rStyle w:val="SubtleEmphasis"/>
                            <w:rFonts w:asciiTheme="minorHAnsi" w:hAnsiTheme="minorHAnsi" w:cstheme="minorHAnsi"/>
                            <w:bCs/>
                            <w:i w:val="0"/>
                            <w:color w:val="000000"/>
                            <w:sz w:val="18"/>
                            <w:szCs w:val="18"/>
                            <w:lang w:bidi="en-US"/>
                          </w:rPr>
                        </w:pPr>
                        <w:r w:rsidRPr="00846EEE">
                          <w:rPr>
                            <w:rStyle w:val="SubtleEmphasis"/>
                            <w:rFonts w:asciiTheme="minorHAnsi" w:hAnsiTheme="minorHAnsi" w:cstheme="minorHAnsi"/>
                            <w:bCs/>
                            <w:i w:val="0"/>
                            <w:color w:val="000000"/>
                            <w:sz w:val="18"/>
                            <w:szCs w:val="18"/>
                            <w:lang w:bidi="en-US"/>
                          </w:rPr>
                          <w:t>(30,330)</w:t>
                        </w:r>
                      </w:p>
                    </w:tc>
                    <w:tc>
                      <w:tcPr>
                        <w:tcW w:w="1538" w:type="dxa"/>
                        <w:tcBorders>
                          <w:top w:val="nil"/>
                          <w:bottom w:val="nil"/>
                        </w:tcBorders>
                        <w:shd w:val="clear" w:color="auto" w:fill="auto"/>
                      </w:tcPr>
                      <w:p w14:paraId="18887446" w14:textId="176A71E0" w:rsidR="006F0BD3" w:rsidRPr="00846EEE" w:rsidRDefault="000D2567" w:rsidP="006F0BD3">
                        <w:pPr>
                          <w:spacing w:after="0" w:line="240" w:lineRule="auto"/>
                          <w:jc w:val="right"/>
                          <w:rPr>
                            <w:rFonts w:asciiTheme="minorHAnsi" w:hAnsiTheme="minorHAnsi" w:cstheme="minorHAnsi"/>
                            <w:color w:val="000000"/>
                            <w:sz w:val="18"/>
                            <w:szCs w:val="18"/>
                            <w:lang w:val="en-US" w:bidi="en-US"/>
                          </w:rPr>
                        </w:pPr>
                        <w:r>
                          <w:rPr>
                            <w:rFonts w:asciiTheme="minorHAnsi" w:hAnsiTheme="minorHAnsi" w:cstheme="minorHAnsi"/>
                            <w:color w:val="000000"/>
                            <w:sz w:val="18"/>
                            <w:szCs w:val="18"/>
                            <w:lang w:val="en-US" w:bidi="en-US"/>
                          </w:rPr>
                          <w:t>(30,458)</w:t>
                        </w:r>
                      </w:p>
                    </w:tc>
                  </w:tr>
                  <w:tr w:rsidR="006F0BD3" w:rsidRPr="00551D5A" w14:paraId="75271338" w14:textId="77777777" w:rsidTr="00997EF7">
                    <w:tc>
                      <w:tcPr>
                        <w:tcW w:w="4857" w:type="dxa"/>
                        <w:tcBorders>
                          <w:top w:val="nil"/>
                          <w:bottom w:val="nil"/>
                        </w:tcBorders>
                        <w:shd w:val="clear" w:color="auto" w:fill="auto"/>
                      </w:tcPr>
                      <w:p w14:paraId="7334FAE9" w14:textId="77777777" w:rsidR="006F0BD3" w:rsidRPr="00846EEE" w:rsidRDefault="006F0BD3" w:rsidP="00997EF7">
                        <w:pPr>
                          <w:spacing w:after="0" w:line="240" w:lineRule="auto"/>
                          <w:ind w:hanging="68"/>
                          <w:rPr>
                            <w:rFonts w:asciiTheme="minorHAnsi" w:hAnsiTheme="minorHAnsi" w:cstheme="minorHAnsi"/>
                            <w:color w:val="000000"/>
                            <w:sz w:val="18"/>
                            <w:szCs w:val="18"/>
                            <w:lang w:val="en-US" w:bidi="en-US"/>
                          </w:rPr>
                        </w:pPr>
                        <w:r w:rsidRPr="00846EEE">
                          <w:rPr>
                            <w:rFonts w:asciiTheme="minorHAnsi" w:hAnsiTheme="minorHAnsi" w:cstheme="minorHAnsi"/>
                            <w:color w:val="000000"/>
                            <w:sz w:val="18"/>
                            <w:szCs w:val="18"/>
                            <w:lang w:val="en-US" w:bidi="en-US"/>
                          </w:rPr>
                          <w:t>Lease liabilities</w:t>
                        </w:r>
                      </w:p>
                    </w:tc>
                    <w:tc>
                      <w:tcPr>
                        <w:tcW w:w="1537" w:type="dxa"/>
                        <w:tcBorders>
                          <w:top w:val="nil"/>
                          <w:bottom w:val="nil"/>
                        </w:tcBorders>
                        <w:shd w:val="clear" w:color="auto" w:fill="auto"/>
                      </w:tcPr>
                      <w:p w14:paraId="528AC4CA" w14:textId="3C294A31" w:rsidR="006F0BD3" w:rsidRPr="00846EEE" w:rsidRDefault="00671029" w:rsidP="006F0BD3">
                        <w:pPr>
                          <w:spacing w:after="0" w:line="240" w:lineRule="auto"/>
                          <w:jc w:val="right"/>
                          <w:rPr>
                            <w:rStyle w:val="SubtleEmphasis"/>
                            <w:rFonts w:asciiTheme="minorHAnsi" w:hAnsiTheme="minorHAnsi" w:cstheme="minorHAnsi"/>
                            <w:b/>
                            <w:i w:val="0"/>
                            <w:color w:val="000000"/>
                            <w:sz w:val="18"/>
                            <w:szCs w:val="18"/>
                            <w:lang w:bidi="en-US"/>
                          </w:rPr>
                        </w:pPr>
                        <w:r>
                          <w:rPr>
                            <w:rStyle w:val="SubtleEmphasis"/>
                            <w:rFonts w:asciiTheme="minorHAnsi" w:hAnsiTheme="minorHAnsi" w:cstheme="minorHAnsi"/>
                            <w:b/>
                            <w:i w:val="0"/>
                            <w:color w:val="000000"/>
                            <w:sz w:val="18"/>
                            <w:szCs w:val="18"/>
                            <w:lang w:bidi="en-US"/>
                          </w:rPr>
                          <w:t>(2,353)</w:t>
                        </w:r>
                      </w:p>
                    </w:tc>
                    <w:tc>
                      <w:tcPr>
                        <w:tcW w:w="1537" w:type="dxa"/>
                        <w:tcBorders>
                          <w:top w:val="nil"/>
                          <w:bottom w:val="nil"/>
                        </w:tcBorders>
                      </w:tcPr>
                      <w:p w14:paraId="30AC54DF" w14:textId="4CC8F18B" w:rsidR="006F0BD3" w:rsidRPr="00846EEE" w:rsidRDefault="006F0BD3" w:rsidP="006F0BD3">
                        <w:pPr>
                          <w:spacing w:after="0" w:line="240" w:lineRule="auto"/>
                          <w:jc w:val="right"/>
                          <w:rPr>
                            <w:rStyle w:val="SubtleEmphasis"/>
                            <w:rFonts w:asciiTheme="minorHAnsi" w:hAnsiTheme="minorHAnsi" w:cstheme="minorHAnsi"/>
                            <w:bCs/>
                            <w:i w:val="0"/>
                            <w:color w:val="000000"/>
                            <w:sz w:val="18"/>
                            <w:szCs w:val="18"/>
                            <w:lang w:bidi="en-US"/>
                          </w:rPr>
                        </w:pPr>
                        <w:r w:rsidRPr="00846EEE">
                          <w:rPr>
                            <w:rStyle w:val="SubtleEmphasis"/>
                            <w:rFonts w:asciiTheme="minorHAnsi" w:hAnsiTheme="minorHAnsi" w:cstheme="minorHAnsi"/>
                            <w:bCs/>
                            <w:i w:val="0"/>
                            <w:color w:val="000000"/>
                            <w:sz w:val="18"/>
                            <w:szCs w:val="18"/>
                            <w:lang w:bidi="en-US"/>
                          </w:rPr>
                          <w:t>(2,607)</w:t>
                        </w:r>
                      </w:p>
                    </w:tc>
                    <w:tc>
                      <w:tcPr>
                        <w:tcW w:w="1538" w:type="dxa"/>
                        <w:tcBorders>
                          <w:top w:val="nil"/>
                          <w:bottom w:val="nil"/>
                        </w:tcBorders>
                        <w:shd w:val="clear" w:color="auto" w:fill="auto"/>
                      </w:tcPr>
                      <w:p w14:paraId="5E40C088" w14:textId="38936A8B" w:rsidR="006F0BD3" w:rsidRPr="00846EEE" w:rsidRDefault="000D2567" w:rsidP="006F0BD3">
                        <w:pPr>
                          <w:spacing w:after="0" w:line="240" w:lineRule="auto"/>
                          <w:jc w:val="right"/>
                          <w:rPr>
                            <w:rFonts w:asciiTheme="minorHAnsi" w:hAnsiTheme="minorHAnsi" w:cstheme="minorHAnsi"/>
                            <w:color w:val="000000"/>
                            <w:sz w:val="18"/>
                            <w:szCs w:val="18"/>
                            <w:lang w:val="en-US" w:bidi="en-US"/>
                          </w:rPr>
                        </w:pPr>
                        <w:r>
                          <w:rPr>
                            <w:rFonts w:asciiTheme="minorHAnsi" w:hAnsiTheme="minorHAnsi" w:cstheme="minorHAnsi"/>
                            <w:color w:val="000000"/>
                            <w:sz w:val="18"/>
                            <w:szCs w:val="18"/>
                            <w:lang w:val="en-US" w:bidi="en-US"/>
                          </w:rPr>
                          <w:t>(2,757)</w:t>
                        </w:r>
                      </w:p>
                    </w:tc>
                  </w:tr>
                  <w:tr w:rsidR="006F0BD3" w:rsidRPr="00551D5A" w14:paraId="2B797EB0" w14:textId="77777777" w:rsidTr="00997EF7">
                    <w:tc>
                      <w:tcPr>
                        <w:tcW w:w="4857" w:type="dxa"/>
                        <w:tcBorders>
                          <w:top w:val="nil"/>
                          <w:bottom w:val="nil"/>
                        </w:tcBorders>
                        <w:shd w:val="clear" w:color="auto" w:fill="auto"/>
                      </w:tcPr>
                      <w:p w14:paraId="7719482C" w14:textId="77777777" w:rsidR="006F0BD3" w:rsidRPr="00846EEE" w:rsidRDefault="006F0BD3" w:rsidP="00997EF7">
                        <w:pPr>
                          <w:spacing w:after="0" w:line="240" w:lineRule="auto"/>
                          <w:ind w:hanging="68"/>
                          <w:rPr>
                            <w:rFonts w:asciiTheme="minorHAnsi" w:hAnsiTheme="minorHAnsi" w:cstheme="minorHAnsi"/>
                            <w:color w:val="000000"/>
                            <w:sz w:val="18"/>
                            <w:szCs w:val="18"/>
                            <w:lang w:val="en-US" w:bidi="en-US"/>
                          </w:rPr>
                        </w:pPr>
                        <w:r w:rsidRPr="00846EEE">
                          <w:rPr>
                            <w:rFonts w:asciiTheme="minorHAnsi" w:hAnsiTheme="minorHAnsi" w:cstheme="minorHAnsi"/>
                            <w:color w:val="000000"/>
                            <w:sz w:val="18"/>
                            <w:szCs w:val="18"/>
                            <w:lang w:val="en-US" w:bidi="en-US"/>
                          </w:rPr>
                          <w:t>Deferred consideration</w:t>
                        </w:r>
                      </w:p>
                    </w:tc>
                    <w:tc>
                      <w:tcPr>
                        <w:tcW w:w="1537" w:type="dxa"/>
                        <w:tcBorders>
                          <w:top w:val="nil"/>
                          <w:bottom w:val="nil"/>
                        </w:tcBorders>
                        <w:shd w:val="clear" w:color="auto" w:fill="auto"/>
                      </w:tcPr>
                      <w:p w14:paraId="1FF2B181" w14:textId="14DE6F16" w:rsidR="006F0BD3" w:rsidRPr="00846EEE" w:rsidRDefault="00671029" w:rsidP="006F0BD3">
                        <w:pPr>
                          <w:spacing w:after="0" w:line="240" w:lineRule="auto"/>
                          <w:jc w:val="right"/>
                          <w:rPr>
                            <w:rStyle w:val="SubtleEmphasis"/>
                            <w:rFonts w:asciiTheme="minorHAnsi" w:hAnsiTheme="minorHAnsi" w:cstheme="minorHAnsi"/>
                            <w:b/>
                            <w:i w:val="0"/>
                            <w:color w:val="000000"/>
                            <w:sz w:val="18"/>
                            <w:szCs w:val="18"/>
                            <w:lang w:bidi="en-US"/>
                          </w:rPr>
                        </w:pPr>
                        <w:r>
                          <w:rPr>
                            <w:rStyle w:val="SubtleEmphasis"/>
                            <w:rFonts w:asciiTheme="minorHAnsi" w:hAnsiTheme="minorHAnsi" w:cstheme="minorHAnsi"/>
                            <w:b/>
                            <w:i w:val="0"/>
                            <w:color w:val="000000"/>
                            <w:sz w:val="18"/>
                            <w:szCs w:val="18"/>
                            <w:lang w:bidi="en-US"/>
                          </w:rPr>
                          <w:t>(494)</w:t>
                        </w:r>
                      </w:p>
                    </w:tc>
                    <w:tc>
                      <w:tcPr>
                        <w:tcW w:w="1537" w:type="dxa"/>
                        <w:tcBorders>
                          <w:top w:val="nil"/>
                          <w:bottom w:val="nil"/>
                        </w:tcBorders>
                      </w:tcPr>
                      <w:p w14:paraId="3C905C88" w14:textId="1D421117" w:rsidR="006F0BD3" w:rsidRPr="00846EEE" w:rsidRDefault="006F0BD3" w:rsidP="006F0BD3">
                        <w:pPr>
                          <w:spacing w:after="0" w:line="240" w:lineRule="auto"/>
                          <w:jc w:val="right"/>
                          <w:rPr>
                            <w:rStyle w:val="SubtleEmphasis"/>
                            <w:rFonts w:asciiTheme="minorHAnsi" w:hAnsiTheme="minorHAnsi" w:cstheme="minorHAnsi"/>
                            <w:bCs/>
                            <w:i w:val="0"/>
                            <w:color w:val="000000"/>
                            <w:sz w:val="18"/>
                            <w:szCs w:val="18"/>
                            <w:lang w:bidi="en-US"/>
                          </w:rPr>
                        </w:pPr>
                        <w:r w:rsidRPr="00846EEE">
                          <w:rPr>
                            <w:rStyle w:val="SubtleEmphasis"/>
                            <w:rFonts w:asciiTheme="minorHAnsi" w:hAnsiTheme="minorHAnsi" w:cstheme="minorHAnsi"/>
                            <w:bCs/>
                            <w:i w:val="0"/>
                            <w:color w:val="000000"/>
                            <w:sz w:val="18"/>
                            <w:szCs w:val="18"/>
                            <w:lang w:bidi="en-US"/>
                          </w:rPr>
                          <w:t>(1,481)</w:t>
                        </w:r>
                      </w:p>
                    </w:tc>
                    <w:tc>
                      <w:tcPr>
                        <w:tcW w:w="1538" w:type="dxa"/>
                        <w:tcBorders>
                          <w:top w:val="nil"/>
                          <w:bottom w:val="nil"/>
                        </w:tcBorders>
                        <w:shd w:val="clear" w:color="auto" w:fill="auto"/>
                      </w:tcPr>
                      <w:p w14:paraId="093AAFDE" w14:textId="27399D05" w:rsidR="006F0BD3" w:rsidRPr="00846EEE" w:rsidRDefault="000D2567" w:rsidP="006F0BD3">
                        <w:pPr>
                          <w:spacing w:after="0" w:line="240" w:lineRule="auto"/>
                          <w:jc w:val="right"/>
                          <w:rPr>
                            <w:rFonts w:asciiTheme="minorHAnsi" w:hAnsiTheme="minorHAnsi" w:cstheme="minorHAnsi"/>
                            <w:color w:val="000000"/>
                            <w:sz w:val="18"/>
                            <w:szCs w:val="18"/>
                            <w:lang w:val="en-US" w:bidi="en-US"/>
                          </w:rPr>
                        </w:pPr>
                        <w:r>
                          <w:rPr>
                            <w:rFonts w:asciiTheme="minorHAnsi" w:hAnsiTheme="minorHAnsi" w:cstheme="minorHAnsi"/>
                            <w:color w:val="000000"/>
                            <w:sz w:val="18"/>
                            <w:szCs w:val="18"/>
                            <w:lang w:val="en-US" w:bidi="en-US"/>
                          </w:rPr>
                          <w:t>(987)</w:t>
                        </w:r>
                      </w:p>
                    </w:tc>
                  </w:tr>
                  <w:tr w:rsidR="006F0BD3" w:rsidRPr="00551D5A" w14:paraId="0AC4490E" w14:textId="77777777" w:rsidTr="00997EF7">
                    <w:trPr>
                      <w:trHeight w:val="320"/>
                    </w:trPr>
                    <w:tc>
                      <w:tcPr>
                        <w:tcW w:w="4857" w:type="dxa"/>
                        <w:tcBorders>
                          <w:top w:val="nil"/>
                          <w:bottom w:val="double" w:sz="4" w:space="0" w:color="auto"/>
                        </w:tcBorders>
                        <w:shd w:val="clear" w:color="auto" w:fill="auto"/>
                      </w:tcPr>
                      <w:p w14:paraId="6EFDF1C3" w14:textId="77777777" w:rsidR="006F0BD3" w:rsidRPr="00846EEE" w:rsidRDefault="006F0BD3" w:rsidP="00997EF7">
                        <w:pPr>
                          <w:spacing w:after="0" w:line="240" w:lineRule="auto"/>
                          <w:ind w:hanging="68"/>
                          <w:rPr>
                            <w:rFonts w:asciiTheme="minorHAnsi" w:hAnsiTheme="minorHAnsi" w:cstheme="minorHAnsi"/>
                            <w:color w:val="000000"/>
                            <w:sz w:val="18"/>
                            <w:szCs w:val="18"/>
                            <w:lang w:val="en-US" w:bidi="en-US"/>
                          </w:rPr>
                        </w:pPr>
                        <w:r w:rsidRPr="00846EEE">
                          <w:rPr>
                            <w:rFonts w:asciiTheme="minorHAnsi" w:hAnsiTheme="minorHAnsi" w:cstheme="minorHAnsi"/>
                            <w:color w:val="000000"/>
                            <w:sz w:val="18"/>
                            <w:szCs w:val="18"/>
                            <w:lang w:val="en-US" w:bidi="en-US"/>
                          </w:rPr>
                          <w:t>Cash and cash equivalents</w:t>
                        </w:r>
                      </w:p>
                    </w:tc>
                    <w:tc>
                      <w:tcPr>
                        <w:tcW w:w="1537" w:type="dxa"/>
                        <w:tcBorders>
                          <w:top w:val="nil"/>
                          <w:bottom w:val="double" w:sz="4" w:space="0" w:color="auto"/>
                        </w:tcBorders>
                        <w:shd w:val="clear" w:color="auto" w:fill="auto"/>
                      </w:tcPr>
                      <w:p w14:paraId="1F30BF27" w14:textId="69B8C8F3" w:rsidR="006F0BD3" w:rsidRPr="00846EEE" w:rsidRDefault="00671029" w:rsidP="006F0BD3">
                        <w:pPr>
                          <w:spacing w:after="0" w:line="240" w:lineRule="auto"/>
                          <w:jc w:val="right"/>
                          <w:rPr>
                            <w:rStyle w:val="SubtleEmphasis"/>
                            <w:rFonts w:asciiTheme="minorHAnsi" w:hAnsiTheme="minorHAnsi" w:cstheme="minorHAnsi"/>
                            <w:b/>
                            <w:i w:val="0"/>
                            <w:color w:val="000000"/>
                            <w:sz w:val="18"/>
                            <w:szCs w:val="18"/>
                            <w:lang w:bidi="en-US"/>
                          </w:rPr>
                        </w:pPr>
                        <w:r>
                          <w:rPr>
                            <w:rStyle w:val="SubtleEmphasis"/>
                            <w:rFonts w:asciiTheme="minorHAnsi" w:hAnsiTheme="minorHAnsi" w:cstheme="minorHAnsi"/>
                            <w:b/>
                            <w:i w:val="0"/>
                            <w:color w:val="000000"/>
                            <w:sz w:val="18"/>
                            <w:szCs w:val="18"/>
                            <w:lang w:bidi="en-US"/>
                          </w:rPr>
                          <w:t>5,004</w:t>
                        </w:r>
                      </w:p>
                    </w:tc>
                    <w:tc>
                      <w:tcPr>
                        <w:tcW w:w="1537" w:type="dxa"/>
                        <w:tcBorders>
                          <w:top w:val="nil"/>
                          <w:bottom w:val="double" w:sz="4" w:space="0" w:color="auto"/>
                        </w:tcBorders>
                      </w:tcPr>
                      <w:p w14:paraId="2C21F1A4" w14:textId="02D0E884" w:rsidR="006F0BD3" w:rsidRPr="00846EEE" w:rsidRDefault="006F0BD3" w:rsidP="006F0BD3">
                        <w:pPr>
                          <w:spacing w:after="0" w:line="240" w:lineRule="auto"/>
                          <w:jc w:val="right"/>
                          <w:rPr>
                            <w:rStyle w:val="SubtleEmphasis"/>
                            <w:rFonts w:asciiTheme="minorHAnsi" w:hAnsiTheme="minorHAnsi" w:cstheme="minorHAnsi"/>
                            <w:bCs/>
                            <w:i w:val="0"/>
                            <w:color w:val="000000"/>
                            <w:sz w:val="18"/>
                            <w:szCs w:val="18"/>
                            <w:lang w:bidi="en-US"/>
                          </w:rPr>
                        </w:pPr>
                        <w:r w:rsidRPr="00846EEE">
                          <w:rPr>
                            <w:rStyle w:val="SubtleEmphasis"/>
                            <w:rFonts w:asciiTheme="minorHAnsi" w:hAnsiTheme="minorHAnsi" w:cstheme="minorHAnsi"/>
                            <w:bCs/>
                            <w:i w:val="0"/>
                            <w:color w:val="000000"/>
                            <w:sz w:val="18"/>
                            <w:szCs w:val="18"/>
                            <w:lang w:bidi="en-US"/>
                          </w:rPr>
                          <w:t>257</w:t>
                        </w:r>
                      </w:p>
                    </w:tc>
                    <w:tc>
                      <w:tcPr>
                        <w:tcW w:w="1538" w:type="dxa"/>
                        <w:tcBorders>
                          <w:top w:val="nil"/>
                          <w:bottom w:val="double" w:sz="4" w:space="0" w:color="auto"/>
                        </w:tcBorders>
                        <w:shd w:val="clear" w:color="auto" w:fill="auto"/>
                      </w:tcPr>
                      <w:p w14:paraId="2D3FFC71" w14:textId="1AE8DE2A" w:rsidR="006F0BD3" w:rsidRPr="00846EEE" w:rsidRDefault="000D2567" w:rsidP="006F0BD3">
                        <w:pPr>
                          <w:spacing w:after="0" w:line="240" w:lineRule="auto"/>
                          <w:jc w:val="right"/>
                          <w:rPr>
                            <w:rFonts w:asciiTheme="minorHAnsi" w:hAnsiTheme="minorHAnsi" w:cstheme="minorHAnsi"/>
                            <w:color w:val="000000"/>
                            <w:sz w:val="18"/>
                            <w:szCs w:val="18"/>
                            <w:lang w:val="en-US" w:bidi="en-US"/>
                          </w:rPr>
                        </w:pPr>
                        <w:r>
                          <w:rPr>
                            <w:rFonts w:asciiTheme="minorHAnsi" w:hAnsiTheme="minorHAnsi" w:cstheme="minorHAnsi"/>
                            <w:color w:val="000000"/>
                            <w:sz w:val="18"/>
                            <w:szCs w:val="18"/>
                            <w:lang w:val="en-US" w:bidi="en-US"/>
                          </w:rPr>
                          <w:t>6,202</w:t>
                        </w:r>
                      </w:p>
                    </w:tc>
                  </w:tr>
                </w:tbl>
                <w:p w14:paraId="273354EF" w14:textId="3C65D080" w:rsidR="00413481" w:rsidRDefault="00413481" w:rsidP="0047121F">
                  <w:pPr>
                    <w:spacing w:after="0" w:line="240" w:lineRule="auto"/>
                    <w:jc w:val="both"/>
                    <w:rPr>
                      <w:rFonts w:asciiTheme="minorHAnsi" w:hAnsiTheme="minorHAnsi" w:cstheme="minorHAnsi"/>
                      <w:sz w:val="18"/>
                      <w:szCs w:val="18"/>
                    </w:rPr>
                  </w:pPr>
                </w:p>
                <w:p w14:paraId="5C00262D" w14:textId="77777777" w:rsidR="00671029" w:rsidRPr="00846EEE" w:rsidRDefault="00671029" w:rsidP="0047121F">
                  <w:pPr>
                    <w:spacing w:after="0" w:line="240" w:lineRule="auto"/>
                    <w:jc w:val="both"/>
                    <w:rPr>
                      <w:rFonts w:asciiTheme="minorHAnsi" w:hAnsiTheme="minorHAnsi" w:cstheme="minorHAnsi"/>
                      <w:sz w:val="18"/>
                      <w:szCs w:val="18"/>
                    </w:rPr>
                  </w:pPr>
                </w:p>
                <w:p w14:paraId="774E2D29" w14:textId="77777777" w:rsidR="00413481" w:rsidRPr="00846EEE" w:rsidRDefault="00413481" w:rsidP="0047121F">
                  <w:pPr>
                    <w:pStyle w:val="ListParagraph"/>
                    <w:numPr>
                      <w:ilvl w:val="0"/>
                      <w:numId w:val="40"/>
                    </w:numPr>
                    <w:spacing w:after="0" w:line="240" w:lineRule="auto"/>
                    <w:jc w:val="both"/>
                    <w:rPr>
                      <w:rFonts w:asciiTheme="minorHAnsi" w:hAnsiTheme="minorHAnsi" w:cstheme="minorHAnsi"/>
                      <w:b/>
                      <w:sz w:val="18"/>
                      <w:szCs w:val="18"/>
                    </w:rPr>
                  </w:pPr>
                  <w:r w:rsidRPr="00846EEE">
                    <w:rPr>
                      <w:rFonts w:asciiTheme="minorHAnsi" w:hAnsiTheme="minorHAnsi" w:cstheme="minorHAnsi"/>
                      <w:b/>
                      <w:sz w:val="18"/>
                      <w:szCs w:val="18"/>
                    </w:rPr>
                    <w:t>Financial assets</w:t>
                  </w:r>
                </w:p>
                <w:p w14:paraId="0D278405" w14:textId="77777777" w:rsidR="00D13D66" w:rsidRPr="00846EEE" w:rsidRDefault="00413481" w:rsidP="0047121F">
                  <w:pPr>
                    <w:spacing w:after="0" w:line="240" w:lineRule="auto"/>
                    <w:jc w:val="both"/>
                    <w:rPr>
                      <w:rFonts w:asciiTheme="minorHAnsi" w:hAnsiTheme="minorHAnsi" w:cstheme="minorHAnsi"/>
                      <w:sz w:val="18"/>
                      <w:szCs w:val="18"/>
                    </w:rPr>
                  </w:pPr>
                  <w:r w:rsidRPr="00846EEE">
                    <w:rPr>
                      <w:rFonts w:asciiTheme="minorHAnsi" w:hAnsiTheme="minorHAnsi" w:cstheme="minorHAnsi"/>
                      <w:sz w:val="18"/>
                      <w:szCs w:val="18"/>
                    </w:rPr>
                    <w:t>The Group held the following financial assets at amortised cost:</w:t>
                  </w:r>
                </w:p>
                <w:p w14:paraId="40006CB0" w14:textId="77777777" w:rsidR="006E190D" w:rsidRPr="00846EEE" w:rsidRDefault="006E190D" w:rsidP="0047121F">
                  <w:pPr>
                    <w:spacing w:after="0" w:line="240" w:lineRule="auto"/>
                    <w:jc w:val="both"/>
                    <w:rPr>
                      <w:rFonts w:asciiTheme="minorHAnsi" w:hAnsiTheme="minorHAnsi" w:cstheme="minorHAnsi"/>
                      <w:sz w:val="18"/>
                      <w:szCs w:val="18"/>
                    </w:rPr>
                  </w:pPr>
                </w:p>
                <w:tbl>
                  <w:tblPr>
                    <w:tblW w:w="9469" w:type="dxa"/>
                    <w:tblBorders>
                      <w:top w:val="single" w:sz="8" w:space="0" w:color="4F81BD"/>
                      <w:bottom w:val="single" w:sz="8" w:space="0" w:color="4F81BD"/>
                    </w:tblBorders>
                    <w:tblLayout w:type="fixed"/>
                    <w:tblLook w:val="0660" w:firstRow="1" w:lastRow="1" w:firstColumn="0" w:lastColumn="0" w:noHBand="1" w:noVBand="1"/>
                  </w:tblPr>
                  <w:tblGrid>
                    <w:gridCol w:w="4857"/>
                    <w:gridCol w:w="1537"/>
                    <w:gridCol w:w="1537"/>
                    <w:gridCol w:w="1538"/>
                  </w:tblGrid>
                  <w:tr w:rsidR="00671029" w:rsidRPr="00551D5A" w14:paraId="4475E272" w14:textId="77777777" w:rsidTr="00997EF7">
                    <w:tc>
                      <w:tcPr>
                        <w:tcW w:w="4857" w:type="dxa"/>
                        <w:tcBorders>
                          <w:top w:val="nil"/>
                          <w:left w:val="nil"/>
                          <w:bottom w:val="nil"/>
                          <w:right w:val="nil"/>
                        </w:tcBorders>
                        <w:shd w:val="clear" w:color="auto" w:fill="auto"/>
                      </w:tcPr>
                      <w:p w14:paraId="0C4017EC" w14:textId="77777777" w:rsidR="00671029" w:rsidRPr="00846EEE" w:rsidRDefault="00671029" w:rsidP="00671029">
                        <w:pPr>
                          <w:spacing w:after="0" w:line="240" w:lineRule="auto"/>
                          <w:rPr>
                            <w:rFonts w:asciiTheme="minorHAnsi" w:hAnsiTheme="minorHAnsi" w:cstheme="minorHAnsi"/>
                            <w:b/>
                            <w:bCs/>
                            <w:color w:val="000000"/>
                            <w:sz w:val="18"/>
                            <w:szCs w:val="18"/>
                            <w:lang w:val="en-US" w:bidi="en-US"/>
                          </w:rPr>
                        </w:pPr>
                      </w:p>
                      <w:p w14:paraId="7B2966BC" w14:textId="77777777" w:rsidR="00671029" w:rsidRPr="00846EEE" w:rsidRDefault="00671029" w:rsidP="00671029">
                        <w:pPr>
                          <w:spacing w:after="0" w:line="240" w:lineRule="auto"/>
                          <w:rPr>
                            <w:rFonts w:asciiTheme="minorHAnsi" w:hAnsiTheme="minorHAnsi" w:cstheme="minorHAnsi"/>
                            <w:b/>
                            <w:bCs/>
                            <w:color w:val="000000"/>
                            <w:sz w:val="18"/>
                            <w:szCs w:val="18"/>
                            <w:lang w:val="en-US" w:bidi="en-US"/>
                          </w:rPr>
                        </w:pPr>
                      </w:p>
                    </w:tc>
                    <w:tc>
                      <w:tcPr>
                        <w:tcW w:w="1537" w:type="dxa"/>
                        <w:tcBorders>
                          <w:top w:val="nil"/>
                          <w:left w:val="nil"/>
                          <w:bottom w:val="nil"/>
                          <w:right w:val="nil"/>
                        </w:tcBorders>
                        <w:shd w:val="clear" w:color="auto" w:fill="auto"/>
                        <w:vAlign w:val="bottom"/>
                      </w:tcPr>
                      <w:p w14:paraId="3D2CB3BB" w14:textId="459DDA3B" w:rsidR="00671029" w:rsidRPr="00846EEE" w:rsidRDefault="00671029" w:rsidP="00671029">
                        <w:pPr>
                          <w:spacing w:after="0" w:line="240" w:lineRule="auto"/>
                          <w:jc w:val="right"/>
                          <w:rPr>
                            <w:rFonts w:asciiTheme="minorHAnsi" w:hAnsiTheme="minorHAnsi" w:cstheme="minorHAnsi"/>
                            <w:b/>
                            <w:bCs/>
                            <w:color w:val="000000"/>
                            <w:sz w:val="18"/>
                            <w:szCs w:val="18"/>
                            <w:lang w:val="en-US" w:bidi="en-US"/>
                          </w:rPr>
                        </w:pPr>
                        <w:r w:rsidRPr="00846EEE">
                          <w:rPr>
                            <w:rFonts w:asciiTheme="minorHAnsi" w:hAnsiTheme="minorHAnsi" w:cstheme="minorHAnsi"/>
                            <w:b/>
                            <w:bCs/>
                            <w:color w:val="000000"/>
                            <w:sz w:val="18"/>
                            <w:szCs w:val="18"/>
                            <w:lang w:bidi="en-US"/>
                          </w:rPr>
                          <w:t>As at</w:t>
                        </w:r>
                        <w:r w:rsidRPr="00846EEE">
                          <w:rPr>
                            <w:rFonts w:asciiTheme="minorHAnsi" w:hAnsiTheme="minorHAnsi" w:cstheme="minorHAnsi"/>
                            <w:b/>
                            <w:bCs/>
                            <w:color w:val="000000"/>
                            <w:sz w:val="18"/>
                            <w:szCs w:val="18"/>
                            <w:lang w:bidi="en-US"/>
                          </w:rPr>
                          <w:br/>
                          <w:t>31 Jan</w:t>
                        </w:r>
                        <w:r>
                          <w:rPr>
                            <w:rFonts w:asciiTheme="minorHAnsi" w:hAnsiTheme="minorHAnsi" w:cstheme="minorHAnsi"/>
                            <w:b/>
                            <w:bCs/>
                            <w:color w:val="000000"/>
                            <w:sz w:val="18"/>
                            <w:szCs w:val="18"/>
                            <w:lang w:bidi="en-US"/>
                          </w:rPr>
                          <w:t>uary</w:t>
                        </w:r>
                        <w:r w:rsidRPr="00846EEE">
                          <w:rPr>
                            <w:rFonts w:asciiTheme="minorHAnsi" w:hAnsiTheme="minorHAnsi" w:cstheme="minorHAnsi"/>
                            <w:b/>
                            <w:bCs/>
                            <w:color w:val="000000"/>
                            <w:sz w:val="18"/>
                            <w:szCs w:val="18"/>
                            <w:lang w:bidi="en-US"/>
                          </w:rPr>
                          <w:t xml:space="preserve"> 2023</w:t>
                        </w:r>
                      </w:p>
                    </w:tc>
                    <w:tc>
                      <w:tcPr>
                        <w:tcW w:w="1537" w:type="dxa"/>
                        <w:tcBorders>
                          <w:top w:val="nil"/>
                          <w:left w:val="nil"/>
                          <w:bottom w:val="nil"/>
                          <w:right w:val="nil"/>
                        </w:tcBorders>
                        <w:vAlign w:val="bottom"/>
                      </w:tcPr>
                      <w:p w14:paraId="189E630D" w14:textId="15DF8F31" w:rsidR="00671029" w:rsidRPr="00846EEE" w:rsidRDefault="00671029" w:rsidP="00671029">
                        <w:pPr>
                          <w:pStyle w:val="DecimalAligned"/>
                          <w:widowControl w:val="0"/>
                          <w:tabs>
                            <w:tab w:val="clear" w:pos="360"/>
                            <w:tab w:val="left" w:pos="352"/>
                            <w:tab w:val="left" w:pos="464"/>
                          </w:tabs>
                          <w:autoSpaceDE w:val="0"/>
                          <w:autoSpaceDN w:val="0"/>
                          <w:adjustRightInd w:val="0"/>
                          <w:spacing w:after="0" w:line="240" w:lineRule="auto"/>
                          <w:jc w:val="right"/>
                          <w:rPr>
                            <w:rFonts w:asciiTheme="minorHAnsi" w:hAnsiTheme="minorHAnsi" w:cstheme="minorHAnsi"/>
                            <w:bCs/>
                            <w:color w:val="000000"/>
                            <w:sz w:val="18"/>
                            <w:szCs w:val="18"/>
                          </w:rPr>
                        </w:pPr>
                        <w:r w:rsidRPr="00846EEE">
                          <w:rPr>
                            <w:rFonts w:asciiTheme="minorHAnsi" w:hAnsiTheme="minorHAnsi" w:cstheme="minorHAnsi"/>
                            <w:bCs/>
                            <w:color w:val="000000"/>
                            <w:sz w:val="18"/>
                            <w:szCs w:val="18"/>
                            <w:lang w:bidi="en-US"/>
                          </w:rPr>
                          <w:t>As at</w:t>
                        </w:r>
                        <w:r w:rsidRPr="00846EEE">
                          <w:rPr>
                            <w:rFonts w:asciiTheme="minorHAnsi" w:hAnsiTheme="minorHAnsi" w:cstheme="minorHAnsi"/>
                            <w:bCs/>
                            <w:color w:val="000000"/>
                            <w:sz w:val="18"/>
                            <w:szCs w:val="18"/>
                            <w:lang w:bidi="en-US"/>
                          </w:rPr>
                          <w:br/>
                          <w:t>31 Jan</w:t>
                        </w:r>
                        <w:r>
                          <w:rPr>
                            <w:rFonts w:asciiTheme="minorHAnsi" w:hAnsiTheme="minorHAnsi" w:cstheme="minorHAnsi"/>
                            <w:bCs/>
                            <w:color w:val="000000"/>
                            <w:sz w:val="18"/>
                            <w:szCs w:val="18"/>
                            <w:lang w:bidi="en-US"/>
                          </w:rPr>
                          <w:t>uary</w:t>
                        </w:r>
                        <w:r w:rsidRPr="00846EEE">
                          <w:rPr>
                            <w:rFonts w:asciiTheme="minorHAnsi" w:hAnsiTheme="minorHAnsi" w:cstheme="minorHAnsi"/>
                            <w:bCs/>
                            <w:color w:val="000000"/>
                            <w:sz w:val="18"/>
                            <w:szCs w:val="18"/>
                            <w:lang w:bidi="en-US"/>
                          </w:rPr>
                          <w:t xml:space="preserve"> 2022</w:t>
                        </w:r>
                      </w:p>
                    </w:tc>
                    <w:tc>
                      <w:tcPr>
                        <w:tcW w:w="1538" w:type="dxa"/>
                        <w:tcBorders>
                          <w:top w:val="nil"/>
                          <w:left w:val="nil"/>
                          <w:bottom w:val="nil"/>
                          <w:right w:val="nil"/>
                        </w:tcBorders>
                        <w:shd w:val="clear" w:color="auto" w:fill="auto"/>
                        <w:vAlign w:val="bottom"/>
                      </w:tcPr>
                      <w:p w14:paraId="1F90B697" w14:textId="77777777" w:rsidR="00671029" w:rsidRPr="00846EEE" w:rsidRDefault="00671029" w:rsidP="00671029">
                        <w:pPr>
                          <w:spacing w:after="0" w:line="240" w:lineRule="auto"/>
                          <w:jc w:val="right"/>
                          <w:rPr>
                            <w:rFonts w:asciiTheme="minorHAnsi" w:hAnsiTheme="minorHAnsi" w:cstheme="minorHAnsi"/>
                            <w:bCs/>
                            <w:color w:val="000000"/>
                            <w:sz w:val="18"/>
                            <w:szCs w:val="18"/>
                            <w:lang w:val="en-US" w:bidi="en-US"/>
                          </w:rPr>
                        </w:pPr>
                        <w:r w:rsidRPr="00846EEE">
                          <w:rPr>
                            <w:rFonts w:asciiTheme="minorHAnsi" w:hAnsiTheme="minorHAnsi" w:cstheme="minorHAnsi"/>
                            <w:bCs/>
                            <w:color w:val="000000"/>
                            <w:sz w:val="18"/>
                            <w:szCs w:val="18"/>
                            <w:lang w:val="en-US" w:bidi="en-US"/>
                          </w:rPr>
                          <w:t xml:space="preserve">As at </w:t>
                        </w:r>
                      </w:p>
                      <w:p w14:paraId="77C4657A" w14:textId="5A806833" w:rsidR="00671029" w:rsidRPr="00846EEE" w:rsidRDefault="00671029" w:rsidP="00671029">
                        <w:pPr>
                          <w:spacing w:after="0" w:line="240" w:lineRule="auto"/>
                          <w:jc w:val="right"/>
                          <w:rPr>
                            <w:rFonts w:asciiTheme="minorHAnsi" w:hAnsiTheme="minorHAnsi" w:cstheme="minorHAnsi"/>
                            <w:bCs/>
                            <w:color w:val="000000"/>
                            <w:sz w:val="18"/>
                            <w:szCs w:val="18"/>
                            <w:lang w:val="en-US" w:bidi="en-US"/>
                          </w:rPr>
                        </w:pPr>
                        <w:r w:rsidRPr="00846EEE">
                          <w:rPr>
                            <w:rFonts w:asciiTheme="minorHAnsi" w:hAnsiTheme="minorHAnsi" w:cstheme="minorHAnsi"/>
                            <w:bCs/>
                            <w:color w:val="000000"/>
                            <w:sz w:val="18"/>
                            <w:szCs w:val="18"/>
                            <w:lang w:bidi="en-US"/>
                          </w:rPr>
                          <w:t>31 Jul</w:t>
                        </w:r>
                        <w:r>
                          <w:rPr>
                            <w:rFonts w:asciiTheme="minorHAnsi" w:hAnsiTheme="minorHAnsi" w:cstheme="minorHAnsi"/>
                            <w:bCs/>
                            <w:color w:val="000000"/>
                            <w:sz w:val="18"/>
                            <w:szCs w:val="18"/>
                            <w:lang w:bidi="en-US"/>
                          </w:rPr>
                          <w:t>y</w:t>
                        </w:r>
                        <w:r w:rsidRPr="00846EEE">
                          <w:rPr>
                            <w:rFonts w:asciiTheme="minorHAnsi" w:hAnsiTheme="minorHAnsi" w:cstheme="minorHAnsi"/>
                            <w:bCs/>
                            <w:color w:val="000000"/>
                            <w:sz w:val="18"/>
                            <w:szCs w:val="18"/>
                            <w:lang w:bidi="en-US"/>
                          </w:rPr>
                          <w:t xml:space="preserve"> 2022</w:t>
                        </w:r>
                      </w:p>
                    </w:tc>
                  </w:tr>
                  <w:tr w:rsidR="00671029" w:rsidRPr="00551D5A" w14:paraId="3A0A855A" w14:textId="77777777" w:rsidTr="00997EF7">
                    <w:tc>
                      <w:tcPr>
                        <w:tcW w:w="4857" w:type="dxa"/>
                        <w:tcBorders>
                          <w:top w:val="nil"/>
                          <w:left w:val="nil"/>
                          <w:bottom w:val="single" w:sz="4" w:space="0" w:color="auto"/>
                          <w:right w:val="nil"/>
                        </w:tcBorders>
                        <w:shd w:val="clear" w:color="auto" w:fill="auto"/>
                      </w:tcPr>
                      <w:p w14:paraId="6497D463" w14:textId="77777777" w:rsidR="00671029" w:rsidRPr="00846EEE" w:rsidRDefault="00671029" w:rsidP="00671029">
                        <w:pPr>
                          <w:spacing w:after="0" w:line="240" w:lineRule="auto"/>
                          <w:rPr>
                            <w:rFonts w:asciiTheme="minorHAnsi" w:hAnsiTheme="minorHAnsi" w:cstheme="minorHAnsi"/>
                            <w:b/>
                            <w:bCs/>
                            <w:color w:val="000000"/>
                            <w:sz w:val="18"/>
                            <w:szCs w:val="18"/>
                            <w:lang w:val="en-US" w:bidi="en-US"/>
                          </w:rPr>
                        </w:pPr>
                      </w:p>
                    </w:tc>
                    <w:tc>
                      <w:tcPr>
                        <w:tcW w:w="1537" w:type="dxa"/>
                        <w:tcBorders>
                          <w:top w:val="nil"/>
                          <w:left w:val="nil"/>
                          <w:bottom w:val="single" w:sz="4" w:space="0" w:color="auto"/>
                          <w:right w:val="nil"/>
                        </w:tcBorders>
                        <w:shd w:val="clear" w:color="auto" w:fill="auto"/>
                        <w:vAlign w:val="center"/>
                      </w:tcPr>
                      <w:p w14:paraId="2FBBC21E" w14:textId="232C8176" w:rsidR="00671029" w:rsidRPr="00846EEE" w:rsidRDefault="00671029" w:rsidP="00671029">
                        <w:pPr>
                          <w:pStyle w:val="DecimalAligned"/>
                          <w:widowControl w:val="0"/>
                          <w:tabs>
                            <w:tab w:val="clear" w:pos="360"/>
                            <w:tab w:val="left" w:pos="352"/>
                            <w:tab w:val="left" w:pos="464"/>
                          </w:tabs>
                          <w:autoSpaceDE w:val="0"/>
                          <w:autoSpaceDN w:val="0"/>
                          <w:adjustRightInd w:val="0"/>
                          <w:spacing w:after="0" w:line="240" w:lineRule="auto"/>
                          <w:jc w:val="right"/>
                          <w:rPr>
                            <w:rFonts w:asciiTheme="minorHAnsi" w:hAnsiTheme="minorHAnsi" w:cstheme="minorHAnsi"/>
                            <w:b/>
                            <w:bCs/>
                            <w:color w:val="000000"/>
                            <w:sz w:val="18"/>
                            <w:szCs w:val="18"/>
                          </w:rPr>
                        </w:pPr>
                        <w:r w:rsidRPr="00846EEE">
                          <w:rPr>
                            <w:rFonts w:asciiTheme="minorHAnsi" w:hAnsiTheme="minorHAnsi" w:cstheme="minorHAnsi"/>
                            <w:b/>
                            <w:bCs/>
                            <w:sz w:val="18"/>
                            <w:szCs w:val="18"/>
                          </w:rPr>
                          <w:t>£’000</w:t>
                        </w:r>
                      </w:p>
                    </w:tc>
                    <w:tc>
                      <w:tcPr>
                        <w:tcW w:w="1537" w:type="dxa"/>
                        <w:tcBorders>
                          <w:top w:val="nil"/>
                          <w:left w:val="nil"/>
                          <w:bottom w:val="single" w:sz="4" w:space="0" w:color="auto"/>
                          <w:right w:val="nil"/>
                        </w:tcBorders>
                        <w:vAlign w:val="center"/>
                      </w:tcPr>
                      <w:p w14:paraId="5112BECE" w14:textId="7D6F4808" w:rsidR="00671029" w:rsidRPr="00846EEE" w:rsidRDefault="00671029" w:rsidP="00671029">
                        <w:pPr>
                          <w:pStyle w:val="DecimalAligned"/>
                          <w:widowControl w:val="0"/>
                          <w:tabs>
                            <w:tab w:val="clear" w:pos="360"/>
                            <w:tab w:val="left" w:pos="352"/>
                            <w:tab w:val="left" w:pos="464"/>
                          </w:tabs>
                          <w:autoSpaceDE w:val="0"/>
                          <w:autoSpaceDN w:val="0"/>
                          <w:adjustRightInd w:val="0"/>
                          <w:spacing w:after="0" w:line="240" w:lineRule="auto"/>
                          <w:jc w:val="right"/>
                          <w:rPr>
                            <w:rFonts w:asciiTheme="minorHAnsi" w:hAnsiTheme="minorHAnsi" w:cstheme="minorHAnsi"/>
                            <w:bCs/>
                            <w:color w:val="000000"/>
                            <w:sz w:val="18"/>
                            <w:szCs w:val="18"/>
                          </w:rPr>
                        </w:pPr>
                        <w:r w:rsidRPr="00002756">
                          <w:rPr>
                            <w:rFonts w:asciiTheme="minorHAnsi" w:hAnsiTheme="minorHAnsi" w:cstheme="minorHAnsi"/>
                            <w:sz w:val="18"/>
                            <w:szCs w:val="18"/>
                          </w:rPr>
                          <w:t>£’000</w:t>
                        </w:r>
                      </w:p>
                    </w:tc>
                    <w:tc>
                      <w:tcPr>
                        <w:tcW w:w="1538" w:type="dxa"/>
                        <w:tcBorders>
                          <w:top w:val="nil"/>
                          <w:left w:val="nil"/>
                          <w:bottom w:val="single" w:sz="4" w:space="0" w:color="auto"/>
                          <w:right w:val="nil"/>
                        </w:tcBorders>
                        <w:shd w:val="clear" w:color="auto" w:fill="auto"/>
                        <w:vAlign w:val="center"/>
                      </w:tcPr>
                      <w:p w14:paraId="572ED0BB" w14:textId="312B55A4" w:rsidR="00671029" w:rsidRPr="00846EEE" w:rsidRDefault="00671029" w:rsidP="00671029">
                        <w:pPr>
                          <w:pStyle w:val="DecimalAligned"/>
                          <w:widowControl w:val="0"/>
                          <w:tabs>
                            <w:tab w:val="clear" w:pos="360"/>
                            <w:tab w:val="left" w:pos="352"/>
                            <w:tab w:val="left" w:pos="464"/>
                          </w:tabs>
                          <w:autoSpaceDE w:val="0"/>
                          <w:autoSpaceDN w:val="0"/>
                          <w:adjustRightInd w:val="0"/>
                          <w:spacing w:after="0" w:line="240" w:lineRule="auto"/>
                          <w:jc w:val="right"/>
                          <w:rPr>
                            <w:rFonts w:asciiTheme="minorHAnsi" w:hAnsiTheme="minorHAnsi" w:cstheme="minorHAnsi"/>
                            <w:color w:val="000000"/>
                            <w:sz w:val="18"/>
                            <w:szCs w:val="18"/>
                          </w:rPr>
                        </w:pPr>
                        <w:r w:rsidRPr="00002756">
                          <w:rPr>
                            <w:rFonts w:asciiTheme="minorHAnsi" w:hAnsiTheme="minorHAnsi" w:cstheme="minorHAnsi"/>
                            <w:sz w:val="18"/>
                            <w:szCs w:val="18"/>
                          </w:rPr>
                          <w:t>£’000</w:t>
                        </w:r>
                      </w:p>
                    </w:tc>
                  </w:tr>
                  <w:tr w:rsidR="006F0BD3" w:rsidRPr="00551D5A" w14:paraId="45371EC9" w14:textId="77777777" w:rsidTr="00997EF7">
                    <w:trPr>
                      <w:trHeight w:val="377"/>
                    </w:trPr>
                    <w:tc>
                      <w:tcPr>
                        <w:tcW w:w="4857" w:type="dxa"/>
                        <w:tcBorders>
                          <w:top w:val="single" w:sz="4" w:space="0" w:color="auto"/>
                        </w:tcBorders>
                        <w:shd w:val="clear" w:color="auto" w:fill="auto"/>
                      </w:tcPr>
                      <w:p w14:paraId="797D0341" w14:textId="77777777" w:rsidR="006F0BD3" w:rsidRPr="00846EEE" w:rsidRDefault="006F0BD3" w:rsidP="006F0BD3">
                        <w:pPr>
                          <w:spacing w:after="0" w:line="240" w:lineRule="auto"/>
                          <w:rPr>
                            <w:rFonts w:asciiTheme="minorHAnsi" w:hAnsiTheme="minorHAnsi" w:cstheme="minorHAnsi"/>
                            <w:color w:val="000000"/>
                            <w:sz w:val="18"/>
                            <w:szCs w:val="18"/>
                            <w:lang w:val="en-US" w:bidi="en-US"/>
                          </w:rPr>
                        </w:pPr>
                        <w:r w:rsidRPr="00846EEE">
                          <w:rPr>
                            <w:rFonts w:asciiTheme="minorHAnsi" w:hAnsiTheme="minorHAnsi" w:cstheme="minorHAnsi"/>
                            <w:color w:val="000000"/>
                            <w:sz w:val="18"/>
                            <w:szCs w:val="18"/>
                            <w:lang w:val="en-US" w:bidi="en-US"/>
                          </w:rPr>
                          <w:t>Cash and cash equivalents</w:t>
                        </w:r>
                      </w:p>
                      <w:p w14:paraId="4BF2DEA1" w14:textId="77777777" w:rsidR="006F0BD3" w:rsidRPr="00846EEE" w:rsidRDefault="006F0BD3" w:rsidP="006F0BD3">
                        <w:pPr>
                          <w:spacing w:after="0" w:line="240" w:lineRule="auto"/>
                          <w:rPr>
                            <w:rFonts w:asciiTheme="minorHAnsi" w:hAnsiTheme="minorHAnsi" w:cstheme="minorHAnsi"/>
                            <w:color w:val="000000"/>
                            <w:sz w:val="18"/>
                            <w:szCs w:val="18"/>
                            <w:lang w:val="en-US" w:bidi="en-US"/>
                          </w:rPr>
                        </w:pPr>
                        <w:r w:rsidRPr="00846EEE">
                          <w:rPr>
                            <w:rFonts w:asciiTheme="minorHAnsi" w:hAnsiTheme="minorHAnsi" w:cstheme="minorHAnsi"/>
                            <w:color w:val="000000"/>
                            <w:sz w:val="18"/>
                            <w:szCs w:val="18"/>
                            <w:lang w:val="en-US" w:bidi="en-US"/>
                          </w:rPr>
                          <w:t>Trade receivables</w:t>
                        </w:r>
                      </w:p>
                    </w:tc>
                    <w:tc>
                      <w:tcPr>
                        <w:tcW w:w="1537" w:type="dxa"/>
                        <w:tcBorders>
                          <w:top w:val="single" w:sz="4" w:space="0" w:color="auto"/>
                        </w:tcBorders>
                        <w:shd w:val="clear" w:color="auto" w:fill="auto"/>
                      </w:tcPr>
                      <w:p w14:paraId="6CADE983" w14:textId="77777777" w:rsidR="006F0BD3" w:rsidRDefault="00671029" w:rsidP="006F0BD3">
                        <w:pPr>
                          <w:spacing w:after="0" w:line="240" w:lineRule="auto"/>
                          <w:jc w:val="right"/>
                          <w:rPr>
                            <w:rStyle w:val="SubtleEmphasis"/>
                            <w:rFonts w:asciiTheme="minorHAnsi" w:hAnsiTheme="minorHAnsi" w:cstheme="minorHAnsi"/>
                            <w:b/>
                            <w:i w:val="0"/>
                            <w:color w:val="000000"/>
                            <w:sz w:val="18"/>
                            <w:szCs w:val="18"/>
                            <w:lang w:bidi="en-US"/>
                          </w:rPr>
                        </w:pPr>
                        <w:r>
                          <w:rPr>
                            <w:rStyle w:val="SubtleEmphasis"/>
                            <w:rFonts w:asciiTheme="minorHAnsi" w:hAnsiTheme="minorHAnsi" w:cstheme="minorHAnsi"/>
                            <w:b/>
                            <w:i w:val="0"/>
                            <w:color w:val="000000"/>
                            <w:sz w:val="18"/>
                            <w:szCs w:val="18"/>
                            <w:lang w:bidi="en-US"/>
                          </w:rPr>
                          <w:t>5,004</w:t>
                        </w:r>
                      </w:p>
                      <w:p w14:paraId="0998E165" w14:textId="4A9D4F21" w:rsidR="00671029" w:rsidRPr="00846EEE" w:rsidRDefault="00671029" w:rsidP="006F0BD3">
                        <w:pPr>
                          <w:spacing w:after="0" w:line="240" w:lineRule="auto"/>
                          <w:jc w:val="right"/>
                          <w:rPr>
                            <w:rStyle w:val="SubtleEmphasis"/>
                            <w:rFonts w:asciiTheme="minorHAnsi" w:hAnsiTheme="minorHAnsi" w:cstheme="minorHAnsi"/>
                            <w:b/>
                            <w:i w:val="0"/>
                            <w:color w:val="000000"/>
                            <w:sz w:val="18"/>
                            <w:szCs w:val="18"/>
                            <w:lang w:bidi="en-US"/>
                          </w:rPr>
                        </w:pPr>
                        <w:r>
                          <w:rPr>
                            <w:rStyle w:val="SubtleEmphasis"/>
                            <w:rFonts w:asciiTheme="minorHAnsi" w:hAnsiTheme="minorHAnsi" w:cstheme="minorHAnsi"/>
                            <w:b/>
                            <w:i w:val="0"/>
                            <w:color w:val="000000"/>
                            <w:sz w:val="18"/>
                            <w:szCs w:val="18"/>
                            <w:lang w:bidi="en-US"/>
                          </w:rPr>
                          <w:t>32,421</w:t>
                        </w:r>
                      </w:p>
                    </w:tc>
                    <w:tc>
                      <w:tcPr>
                        <w:tcW w:w="1537" w:type="dxa"/>
                        <w:tcBorders>
                          <w:top w:val="single" w:sz="4" w:space="0" w:color="auto"/>
                        </w:tcBorders>
                      </w:tcPr>
                      <w:p w14:paraId="3F1A2D8D" w14:textId="77777777" w:rsidR="006F0BD3" w:rsidRPr="00846EEE" w:rsidRDefault="006F0BD3" w:rsidP="006F0BD3">
                        <w:pPr>
                          <w:spacing w:after="0" w:line="240" w:lineRule="auto"/>
                          <w:jc w:val="right"/>
                          <w:rPr>
                            <w:rStyle w:val="SubtleEmphasis"/>
                            <w:rFonts w:asciiTheme="minorHAnsi" w:hAnsiTheme="minorHAnsi" w:cstheme="minorHAnsi"/>
                            <w:bCs/>
                            <w:i w:val="0"/>
                            <w:color w:val="000000"/>
                            <w:sz w:val="18"/>
                            <w:szCs w:val="18"/>
                            <w:lang w:bidi="en-US"/>
                          </w:rPr>
                        </w:pPr>
                        <w:r w:rsidRPr="00846EEE">
                          <w:rPr>
                            <w:rStyle w:val="SubtleEmphasis"/>
                            <w:rFonts w:asciiTheme="minorHAnsi" w:hAnsiTheme="minorHAnsi" w:cstheme="minorHAnsi"/>
                            <w:bCs/>
                            <w:i w:val="0"/>
                            <w:color w:val="000000"/>
                            <w:sz w:val="18"/>
                            <w:szCs w:val="18"/>
                            <w:lang w:bidi="en-US"/>
                          </w:rPr>
                          <w:t>257</w:t>
                        </w:r>
                      </w:p>
                      <w:p w14:paraId="5ABAFA12" w14:textId="6B10F4F7" w:rsidR="006F0BD3" w:rsidRPr="00846EEE" w:rsidRDefault="00DF3270" w:rsidP="006F0BD3">
                        <w:pPr>
                          <w:spacing w:after="0" w:line="240" w:lineRule="auto"/>
                          <w:jc w:val="right"/>
                          <w:rPr>
                            <w:rStyle w:val="SubtleEmphasis"/>
                            <w:rFonts w:asciiTheme="minorHAnsi" w:hAnsiTheme="minorHAnsi" w:cstheme="minorHAnsi"/>
                            <w:bCs/>
                            <w:i w:val="0"/>
                            <w:color w:val="000000"/>
                            <w:sz w:val="18"/>
                            <w:szCs w:val="18"/>
                            <w:lang w:bidi="en-US"/>
                          </w:rPr>
                        </w:pPr>
                        <w:r>
                          <w:rPr>
                            <w:rStyle w:val="SubtleEmphasis"/>
                            <w:rFonts w:asciiTheme="minorHAnsi" w:hAnsiTheme="minorHAnsi" w:cstheme="minorHAnsi"/>
                            <w:bCs/>
                            <w:i w:val="0"/>
                            <w:color w:val="000000"/>
                            <w:sz w:val="18"/>
                            <w:szCs w:val="18"/>
                            <w:lang w:bidi="en-US"/>
                          </w:rPr>
                          <w:t>36,656</w:t>
                        </w:r>
                      </w:p>
                    </w:tc>
                    <w:tc>
                      <w:tcPr>
                        <w:tcW w:w="1538" w:type="dxa"/>
                        <w:tcBorders>
                          <w:top w:val="single" w:sz="4" w:space="0" w:color="auto"/>
                        </w:tcBorders>
                        <w:shd w:val="clear" w:color="auto" w:fill="auto"/>
                      </w:tcPr>
                      <w:p w14:paraId="56A04D8F" w14:textId="0B3E78F8" w:rsidR="006F0BD3" w:rsidRDefault="007C0C67" w:rsidP="006F0BD3">
                        <w:pPr>
                          <w:spacing w:after="0" w:line="240" w:lineRule="auto"/>
                          <w:jc w:val="right"/>
                          <w:rPr>
                            <w:rFonts w:asciiTheme="minorHAnsi" w:hAnsiTheme="minorHAnsi" w:cstheme="minorHAnsi"/>
                            <w:color w:val="000000"/>
                            <w:sz w:val="18"/>
                            <w:szCs w:val="18"/>
                            <w:lang w:val="en-US" w:bidi="en-US"/>
                          </w:rPr>
                        </w:pPr>
                        <w:r>
                          <w:rPr>
                            <w:rFonts w:asciiTheme="minorHAnsi" w:hAnsiTheme="minorHAnsi" w:cstheme="minorHAnsi"/>
                            <w:color w:val="000000"/>
                            <w:sz w:val="18"/>
                            <w:szCs w:val="18"/>
                            <w:lang w:val="en-US" w:bidi="en-US"/>
                          </w:rPr>
                          <w:t>6,202</w:t>
                        </w:r>
                      </w:p>
                      <w:p w14:paraId="0C737AB5" w14:textId="10E39E03" w:rsidR="007C0C67" w:rsidRPr="00846EEE" w:rsidRDefault="007C0C67" w:rsidP="006F0BD3">
                        <w:pPr>
                          <w:spacing w:after="0" w:line="240" w:lineRule="auto"/>
                          <w:jc w:val="right"/>
                          <w:rPr>
                            <w:rFonts w:asciiTheme="minorHAnsi" w:hAnsiTheme="minorHAnsi" w:cstheme="minorHAnsi"/>
                            <w:color w:val="000000"/>
                            <w:sz w:val="18"/>
                            <w:szCs w:val="18"/>
                            <w:lang w:val="en-US" w:bidi="en-US"/>
                          </w:rPr>
                        </w:pPr>
                        <w:r>
                          <w:rPr>
                            <w:rFonts w:asciiTheme="minorHAnsi" w:hAnsiTheme="minorHAnsi" w:cstheme="minorHAnsi"/>
                            <w:color w:val="000000"/>
                            <w:sz w:val="18"/>
                            <w:szCs w:val="18"/>
                            <w:lang w:val="en-US" w:bidi="en-US"/>
                          </w:rPr>
                          <w:t>30,643</w:t>
                        </w:r>
                      </w:p>
                    </w:tc>
                  </w:tr>
                  <w:tr w:rsidR="006F0BD3" w:rsidRPr="00551D5A" w14:paraId="55C6B090" w14:textId="77777777" w:rsidTr="00997EF7">
                    <w:trPr>
                      <w:trHeight w:val="199"/>
                    </w:trPr>
                    <w:tc>
                      <w:tcPr>
                        <w:tcW w:w="4857" w:type="dxa"/>
                        <w:tcBorders>
                          <w:top w:val="single" w:sz="4" w:space="0" w:color="auto"/>
                          <w:left w:val="nil"/>
                          <w:bottom w:val="double" w:sz="4" w:space="0" w:color="auto"/>
                          <w:right w:val="nil"/>
                        </w:tcBorders>
                        <w:shd w:val="clear" w:color="auto" w:fill="auto"/>
                      </w:tcPr>
                      <w:p w14:paraId="6EA4E53A" w14:textId="77777777" w:rsidR="006F0BD3" w:rsidRPr="00846EEE" w:rsidRDefault="006F0BD3" w:rsidP="006F0BD3">
                        <w:pPr>
                          <w:spacing w:after="0" w:line="240" w:lineRule="auto"/>
                          <w:rPr>
                            <w:rFonts w:asciiTheme="minorHAnsi" w:hAnsiTheme="minorHAnsi" w:cstheme="minorHAnsi"/>
                            <w:b/>
                            <w:bCs/>
                            <w:color w:val="000000"/>
                            <w:sz w:val="18"/>
                            <w:szCs w:val="18"/>
                            <w:lang w:val="en-US" w:bidi="en-US"/>
                          </w:rPr>
                        </w:pPr>
                      </w:p>
                    </w:tc>
                    <w:tc>
                      <w:tcPr>
                        <w:tcW w:w="1537" w:type="dxa"/>
                        <w:tcBorders>
                          <w:top w:val="single" w:sz="4" w:space="0" w:color="auto"/>
                          <w:left w:val="nil"/>
                          <w:bottom w:val="double" w:sz="4" w:space="0" w:color="auto"/>
                          <w:right w:val="nil"/>
                        </w:tcBorders>
                        <w:shd w:val="clear" w:color="auto" w:fill="auto"/>
                      </w:tcPr>
                      <w:p w14:paraId="46FAC49A" w14:textId="1ED00B40" w:rsidR="006F0BD3" w:rsidRPr="00846EEE" w:rsidRDefault="00671029" w:rsidP="006F0BD3">
                        <w:pPr>
                          <w:pStyle w:val="DecimalAligned"/>
                          <w:spacing w:after="0" w:line="240" w:lineRule="auto"/>
                          <w:jc w:val="right"/>
                          <w:rPr>
                            <w:rFonts w:asciiTheme="minorHAnsi" w:hAnsiTheme="minorHAnsi" w:cstheme="minorHAnsi"/>
                            <w:b/>
                            <w:bCs/>
                            <w:color w:val="000000"/>
                            <w:sz w:val="18"/>
                            <w:szCs w:val="18"/>
                            <w:lang w:bidi="en-US"/>
                          </w:rPr>
                        </w:pPr>
                        <w:r>
                          <w:rPr>
                            <w:rFonts w:asciiTheme="minorHAnsi" w:hAnsiTheme="minorHAnsi" w:cstheme="minorHAnsi"/>
                            <w:b/>
                            <w:bCs/>
                            <w:color w:val="000000"/>
                            <w:sz w:val="18"/>
                            <w:szCs w:val="18"/>
                            <w:lang w:bidi="en-US"/>
                          </w:rPr>
                          <w:t>37,425</w:t>
                        </w:r>
                      </w:p>
                    </w:tc>
                    <w:tc>
                      <w:tcPr>
                        <w:tcW w:w="1537" w:type="dxa"/>
                        <w:tcBorders>
                          <w:top w:val="single" w:sz="4" w:space="0" w:color="auto"/>
                          <w:left w:val="nil"/>
                          <w:bottom w:val="double" w:sz="4" w:space="0" w:color="auto"/>
                          <w:right w:val="nil"/>
                        </w:tcBorders>
                      </w:tcPr>
                      <w:p w14:paraId="1D551C64" w14:textId="049294AE" w:rsidR="006F0BD3" w:rsidRPr="00846EEE" w:rsidRDefault="00DF3270" w:rsidP="006F0BD3">
                        <w:pPr>
                          <w:pStyle w:val="DecimalAligned"/>
                          <w:spacing w:after="0" w:line="240" w:lineRule="auto"/>
                          <w:jc w:val="right"/>
                          <w:rPr>
                            <w:rFonts w:asciiTheme="minorHAnsi" w:hAnsiTheme="minorHAnsi" w:cstheme="minorHAnsi"/>
                            <w:bCs/>
                            <w:color w:val="000000"/>
                            <w:sz w:val="18"/>
                            <w:szCs w:val="18"/>
                            <w:lang w:bidi="en-US"/>
                          </w:rPr>
                        </w:pPr>
                        <w:r>
                          <w:rPr>
                            <w:rFonts w:asciiTheme="minorHAnsi" w:hAnsiTheme="minorHAnsi" w:cstheme="minorHAnsi"/>
                            <w:bCs/>
                            <w:color w:val="000000"/>
                            <w:sz w:val="18"/>
                            <w:szCs w:val="18"/>
                            <w:lang w:bidi="en-US"/>
                          </w:rPr>
                          <w:t>36,913</w:t>
                        </w:r>
                      </w:p>
                    </w:tc>
                    <w:tc>
                      <w:tcPr>
                        <w:tcW w:w="1538" w:type="dxa"/>
                        <w:tcBorders>
                          <w:top w:val="single" w:sz="4" w:space="0" w:color="auto"/>
                          <w:left w:val="nil"/>
                          <w:bottom w:val="double" w:sz="4" w:space="0" w:color="auto"/>
                          <w:right w:val="nil"/>
                        </w:tcBorders>
                        <w:shd w:val="clear" w:color="auto" w:fill="auto"/>
                      </w:tcPr>
                      <w:p w14:paraId="652EF700" w14:textId="303B541B" w:rsidR="006F0BD3" w:rsidRPr="00846EEE" w:rsidRDefault="007C0C67" w:rsidP="006F0BD3">
                        <w:pPr>
                          <w:pStyle w:val="DecimalAligned"/>
                          <w:spacing w:after="0" w:line="240" w:lineRule="auto"/>
                          <w:jc w:val="right"/>
                          <w:rPr>
                            <w:rFonts w:asciiTheme="minorHAnsi" w:hAnsiTheme="minorHAnsi" w:cstheme="minorHAnsi"/>
                            <w:bCs/>
                            <w:color w:val="000000"/>
                            <w:sz w:val="18"/>
                            <w:szCs w:val="18"/>
                            <w:lang w:bidi="en-US"/>
                          </w:rPr>
                        </w:pPr>
                        <w:r>
                          <w:rPr>
                            <w:rFonts w:asciiTheme="minorHAnsi" w:hAnsiTheme="minorHAnsi" w:cstheme="minorHAnsi"/>
                            <w:bCs/>
                            <w:color w:val="000000"/>
                            <w:sz w:val="18"/>
                            <w:szCs w:val="18"/>
                            <w:lang w:bidi="en-US"/>
                          </w:rPr>
                          <w:t>36,845</w:t>
                        </w:r>
                      </w:p>
                    </w:tc>
                  </w:tr>
                </w:tbl>
                <w:p w14:paraId="42705DED" w14:textId="77777777" w:rsidR="009016FF" w:rsidRPr="00846EEE" w:rsidRDefault="009016FF" w:rsidP="0047121F">
                  <w:pPr>
                    <w:pStyle w:val="DecimalAligned"/>
                    <w:widowControl w:val="0"/>
                    <w:tabs>
                      <w:tab w:val="clear" w:pos="360"/>
                      <w:tab w:val="left" w:pos="352"/>
                      <w:tab w:val="left" w:pos="464"/>
                    </w:tabs>
                    <w:autoSpaceDE w:val="0"/>
                    <w:autoSpaceDN w:val="0"/>
                    <w:adjustRightInd w:val="0"/>
                    <w:spacing w:after="0" w:line="240" w:lineRule="auto"/>
                    <w:rPr>
                      <w:rFonts w:asciiTheme="minorHAnsi" w:hAnsiTheme="minorHAnsi" w:cstheme="minorHAnsi"/>
                      <w:b/>
                      <w:color w:val="000000"/>
                      <w:sz w:val="18"/>
                      <w:szCs w:val="18"/>
                      <w:lang w:bidi="en-US"/>
                    </w:rPr>
                  </w:pPr>
                </w:p>
                <w:p w14:paraId="6BD0303A" w14:textId="77777777" w:rsidR="008640C0" w:rsidRPr="00846EEE" w:rsidRDefault="008640C0" w:rsidP="0047121F">
                  <w:pPr>
                    <w:pStyle w:val="ListParagraph"/>
                    <w:widowControl w:val="0"/>
                    <w:numPr>
                      <w:ilvl w:val="0"/>
                      <w:numId w:val="40"/>
                    </w:numPr>
                    <w:tabs>
                      <w:tab w:val="left" w:pos="352"/>
                      <w:tab w:val="left" w:pos="464"/>
                    </w:tabs>
                    <w:autoSpaceDE w:val="0"/>
                    <w:autoSpaceDN w:val="0"/>
                    <w:adjustRightInd w:val="0"/>
                    <w:spacing w:after="0" w:line="240" w:lineRule="auto"/>
                    <w:jc w:val="both"/>
                    <w:rPr>
                      <w:rFonts w:asciiTheme="minorHAnsi" w:hAnsiTheme="minorHAnsi" w:cstheme="minorHAnsi"/>
                      <w:b/>
                      <w:color w:val="000000"/>
                      <w:sz w:val="18"/>
                      <w:szCs w:val="18"/>
                      <w:lang w:bidi="en-US"/>
                    </w:rPr>
                  </w:pPr>
                  <w:r w:rsidRPr="00846EEE">
                    <w:rPr>
                      <w:rFonts w:asciiTheme="minorHAnsi" w:hAnsiTheme="minorHAnsi" w:cstheme="minorHAnsi"/>
                      <w:b/>
                      <w:sz w:val="18"/>
                      <w:szCs w:val="18"/>
                    </w:rPr>
                    <w:t>Financial liabilities</w:t>
                  </w:r>
                </w:p>
                <w:p w14:paraId="2CD706D3" w14:textId="77777777" w:rsidR="008640C0" w:rsidRPr="00846EEE" w:rsidRDefault="008640C0" w:rsidP="0047121F">
                  <w:pPr>
                    <w:autoSpaceDE w:val="0"/>
                    <w:autoSpaceDN w:val="0"/>
                    <w:adjustRightInd w:val="0"/>
                    <w:spacing w:after="0" w:line="240" w:lineRule="auto"/>
                    <w:jc w:val="both"/>
                    <w:rPr>
                      <w:rFonts w:asciiTheme="minorHAnsi" w:hAnsiTheme="minorHAnsi" w:cstheme="minorHAnsi"/>
                      <w:sz w:val="18"/>
                      <w:szCs w:val="18"/>
                    </w:rPr>
                  </w:pPr>
                  <w:r w:rsidRPr="00846EEE">
                    <w:rPr>
                      <w:rFonts w:asciiTheme="minorHAnsi" w:hAnsiTheme="minorHAnsi" w:cstheme="minorHAnsi"/>
                      <w:sz w:val="18"/>
                      <w:szCs w:val="18"/>
                    </w:rPr>
                    <w:t>The Group held the following financial liabilities, classified as other financial liabilities at amortised cost:</w:t>
                  </w:r>
                </w:p>
                <w:p w14:paraId="502D99E7" w14:textId="77777777" w:rsidR="00D13D66" w:rsidRPr="00846EEE" w:rsidRDefault="00D13D66" w:rsidP="0047121F">
                  <w:pPr>
                    <w:autoSpaceDE w:val="0"/>
                    <w:autoSpaceDN w:val="0"/>
                    <w:adjustRightInd w:val="0"/>
                    <w:spacing w:after="0" w:line="240" w:lineRule="auto"/>
                    <w:jc w:val="both"/>
                    <w:rPr>
                      <w:rFonts w:asciiTheme="minorHAnsi" w:hAnsiTheme="minorHAnsi" w:cstheme="minorHAnsi"/>
                      <w:sz w:val="18"/>
                      <w:szCs w:val="18"/>
                    </w:rPr>
                  </w:pPr>
                </w:p>
                <w:tbl>
                  <w:tblPr>
                    <w:tblW w:w="9469" w:type="dxa"/>
                    <w:tblBorders>
                      <w:top w:val="single" w:sz="8" w:space="0" w:color="4F81BD"/>
                      <w:bottom w:val="single" w:sz="8" w:space="0" w:color="4F81BD"/>
                    </w:tblBorders>
                    <w:tblLayout w:type="fixed"/>
                    <w:tblLook w:val="0660" w:firstRow="1" w:lastRow="1" w:firstColumn="0" w:lastColumn="0" w:noHBand="1" w:noVBand="1"/>
                  </w:tblPr>
                  <w:tblGrid>
                    <w:gridCol w:w="4857"/>
                    <w:gridCol w:w="1537"/>
                    <w:gridCol w:w="1537"/>
                    <w:gridCol w:w="1538"/>
                  </w:tblGrid>
                  <w:tr w:rsidR="00671029" w:rsidRPr="00551D5A" w14:paraId="18050039" w14:textId="77777777" w:rsidTr="00997EF7">
                    <w:tc>
                      <w:tcPr>
                        <w:tcW w:w="4857" w:type="dxa"/>
                        <w:tcBorders>
                          <w:top w:val="nil"/>
                          <w:left w:val="nil"/>
                          <w:bottom w:val="nil"/>
                          <w:right w:val="nil"/>
                        </w:tcBorders>
                        <w:shd w:val="clear" w:color="auto" w:fill="auto"/>
                      </w:tcPr>
                      <w:p w14:paraId="12816733" w14:textId="77777777" w:rsidR="00671029" w:rsidRPr="00846EEE" w:rsidRDefault="00671029" w:rsidP="00671029">
                        <w:pPr>
                          <w:spacing w:after="0" w:line="240" w:lineRule="auto"/>
                          <w:rPr>
                            <w:rFonts w:asciiTheme="minorHAnsi" w:hAnsiTheme="minorHAnsi" w:cstheme="minorHAnsi"/>
                            <w:b/>
                            <w:bCs/>
                            <w:color w:val="000000"/>
                            <w:sz w:val="18"/>
                            <w:szCs w:val="18"/>
                            <w:lang w:val="en-US" w:bidi="en-US"/>
                          </w:rPr>
                        </w:pPr>
                      </w:p>
                      <w:p w14:paraId="08E94A00" w14:textId="77777777" w:rsidR="00671029" w:rsidRPr="00846EEE" w:rsidRDefault="00671029" w:rsidP="00671029">
                        <w:pPr>
                          <w:spacing w:after="0" w:line="240" w:lineRule="auto"/>
                          <w:rPr>
                            <w:rFonts w:asciiTheme="minorHAnsi" w:hAnsiTheme="minorHAnsi" w:cstheme="minorHAnsi"/>
                            <w:b/>
                            <w:bCs/>
                            <w:color w:val="000000"/>
                            <w:sz w:val="18"/>
                            <w:szCs w:val="18"/>
                            <w:lang w:val="en-US" w:bidi="en-US"/>
                          </w:rPr>
                        </w:pPr>
                      </w:p>
                    </w:tc>
                    <w:tc>
                      <w:tcPr>
                        <w:tcW w:w="1537" w:type="dxa"/>
                        <w:tcBorders>
                          <w:top w:val="nil"/>
                          <w:left w:val="nil"/>
                          <w:bottom w:val="nil"/>
                          <w:right w:val="nil"/>
                        </w:tcBorders>
                        <w:shd w:val="clear" w:color="auto" w:fill="auto"/>
                        <w:vAlign w:val="bottom"/>
                      </w:tcPr>
                      <w:p w14:paraId="217BD9F3" w14:textId="4CE5E325" w:rsidR="00671029" w:rsidRPr="00846EEE" w:rsidRDefault="00671029" w:rsidP="00671029">
                        <w:pPr>
                          <w:spacing w:after="0" w:line="240" w:lineRule="auto"/>
                          <w:jc w:val="right"/>
                          <w:rPr>
                            <w:rFonts w:asciiTheme="minorHAnsi" w:hAnsiTheme="minorHAnsi" w:cstheme="minorHAnsi"/>
                            <w:b/>
                            <w:bCs/>
                            <w:color w:val="000000"/>
                            <w:sz w:val="18"/>
                            <w:szCs w:val="18"/>
                            <w:lang w:val="en-US" w:bidi="en-US"/>
                          </w:rPr>
                        </w:pPr>
                        <w:r w:rsidRPr="00846EEE">
                          <w:rPr>
                            <w:rFonts w:asciiTheme="minorHAnsi" w:hAnsiTheme="minorHAnsi" w:cstheme="minorHAnsi"/>
                            <w:b/>
                            <w:bCs/>
                            <w:color w:val="000000"/>
                            <w:sz w:val="18"/>
                            <w:szCs w:val="18"/>
                            <w:lang w:bidi="en-US"/>
                          </w:rPr>
                          <w:t>As at</w:t>
                        </w:r>
                        <w:r w:rsidRPr="00846EEE">
                          <w:rPr>
                            <w:rFonts w:asciiTheme="minorHAnsi" w:hAnsiTheme="minorHAnsi" w:cstheme="minorHAnsi"/>
                            <w:b/>
                            <w:bCs/>
                            <w:color w:val="000000"/>
                            <w:sz w:val="18"/>
                            <w:szCs w:val="18"/>
                            <w:lang w:bidi="en-US"/>
                          </w:rPr>
                          <w:br/>
                          <w:t>31 Jan</w:t>
                        </w:r>
                        <w:r>
                          <w:rPr>
                            <w:rFonts w:asciiTheme="minorHAnsi" w:hAnsiTheme="minorHAnsi" w:cstheme="minorHAnsi"/>
                            <w:b/>
                            <w:bCs/>
                            <w:color w:val="000000"/>
                            <w:sz w:val="18"/>
                            <w:szCs w:val="18"/>
                            <w:lang w:bidi="en-US"/>
                          </w:rPr>
                          <w:t>uary</w:t>
                        </w:r>
                        <w:r w:rsidRPr="00846EEE">
                          <w:rPr>
                            <w:rFonts w:asciiTheme="minorHAnsi" w:hAnsiTheme="minorHAnsi" w:cstheme="minorHAnsi"/>
                            <w:b/>
                            <w:bCs/>
                            <w:color w:val="000000"/>
                            <w:sz w:val="18"/>
                            <w:szCs w:val="18"/>
                            <w:lang w:bidi="en-US"/>
                          </w:rPr>
                          <w:t xml:space="preserve"> 2023</w:t>
                        </w:r>
                      </w:p>
                    </w:tc>
                    <w:tc>
                      <w:tcPr>
                        <w:tcW w:w="1537" w:type="dxa"/>
                        <w:tcBorders>
                          <w:top w:val="nil"/>
                          <w:left w:val="nil"/>
                          <w:bottom w:val="nil"/>
                          <w:right w:val="nil"/>
                        </w:tcBorders>
                        <w:vAlign w:val="bottom"/>
                      </w:tcPr>
                      <w:p w14:paraId="43598D38" w14:textId="42EA25F3" w:rsidR="00671029" w:rsidRPr="00846EEE" w:rsidRDefault="00671029" w:rsidP="00671029">
                        <w:pPr>
                          <w:pStyle w:val="DecimalAligned"/>
                          <w:widowControl w:val="0"/>
                          <w:tabs>
                            <w:tab w:val="clear" w:pos="360"/>
                            <w:tab w:val="left" w:pos="352"/>
                            <w:tab w:val="left" w:pos="464"/>
                          </w:tabs>
                          <w:autoSpaceDE w:val="0"/>
                          <w:autoSpaceDN w:val="0"/>
                          <w:adjustRightInd w:val="0"/>
                          <w:spacing w:after="0" w:line="240" w:lineRule="auto"/>
                          <w:jc w:val="right"/>
                          <w:rPr>
                            <w:rFonts w:asciiTheme="minorHAnsi" w:hAnsiTheme="minorHAnsi" w:cstheme="minorHAnsi"/>
                            <w:bCs/>
                            <w:color w:val="000000"/>
                            <w:sz w:val="18"/>
                            <w:szCs w:val="18"/>
                          </w:rPr>
                        </w:pPr>
                        <w:r w:rsidRPr="00846EEE">
                          <w:rPr>
                            <w:rFonts w:asciiTheme="minorHAnsi" w:hAnsiTheme="minorHAnsi" w:cstheme="minorHAnsi"/>
                            <w:bCs/>
                            <w:color w:val="000000"/>
                            <w:sz w:val="18"/>
                            <w:szCs w:val="18"/>
                            <w:lang w:bidi="en-US"/>
                          </w:rPr>
                          <w:t>As at</w:t>
                        </w:r>
                        <w:r w:rsidRPr="00846EEE">
                          <w:rPr>
                            <w:rFonts w:asciiTheme="minorHAnsi" w:hAnsiTheme="minorHAnsi" w:cstheme="minorHAnsi"/>
                            <w:bCs/>
                            <w:color w:val="000000"/>
                            <w:sz w:val="18"/>
                            <w:szCs w:val="18"/>
                            <w:lang w:bidi="en-US"/>
                          </w:rPr>
                          <w:br/>
                          <w:t>31 Jan</w:t>
                        </w:r>
                        <w:r>
                          <w:rPr>
                            <w:rFonts w:asciiTheme="minorHAnsi" w:hAnsiTheme="minorHAnsi" w:cstheme="minorHAnsi"/>
                            <w:bCs/>
                            <w:color w:val="000000"/>
                            <w:sz w:val="18"/>
                            <w:szCs w:val="18"/>
                            <w:lang w:bidi="en-US"/>
                          </w:rPr>
                          <w:t>uary</w:t>
                        </w:r>
                        <w:r w:rsidRPr="00846EEE">
                          <w:rPr>
                            <w:rFonts w:asciiTheme="minorHAnsi" w:hAnsiTheme="minorHAnsi" w:cstheme="minorHAnsi"/>
                            <w:bCs/>
                            <w:color w:val="000000"/>
                            <w:sz w:val="18"/>
                            <w:szCs w:val="18"/>
                            <w:lang w:bidi="en-US"/>
                          </w:rPr>
                          <w:t xml:space="preserve"> 2022</w:t>
                        </w:r>
                      </w:p>
                    </w:tc>
                    <w:tc>
                      <w:tcPr>
                        <w:tcW w:w="1538" w:type="dxa"/>
                        <w:tcBorders>
                          <w:top w:val="nil"/>
                          <w:left w:val="nil"/>
                          <w:bottom w:val="nil"/>
                          <w:right w:val="nil"/>
                        </w:tcBorders>
                        <w:shd w:val="clear" w:color="auto" w:fill="auto"/>
                        <w:vAlign w:val="bottom"/>
                      </w:tcPr>
                      <w:p w14:paraId="552C8BFD" w14:textId="77777777" w:rsidR="00671029" w:rsidRPr="00846EEE" w:rsidRDefault="00671029" w:rsidP="00671029">
                        <w:pPr>
                          <w:spacing w:after="0" w:line="240" w:lineRule="auto"/>
                          <w:jc w:val="right"/>
                          <w:rPr>
                            <w:rFonts w:asciiTheme="minorHAnsi" w:hAnsiTheme="minorHAnsi" w:cstheme="minorHAnsi"/>
                            <w:bCs/>
                            <w:color w:val="000000"/>
                            <w:sz w:val="18"/>
                            <w:szCs w:val="18"/>
                            <w:lang w:val="en-US" w:bidi="en-US"/>
                          </w:rPr>
                        </w:pPr>
                        <w:r w:rsidRPr="00846EEE">
                          <w:rPr>
                            <w:rFonts w:asciiTheme="minorHAnsi" w:hAnsiTheme="minorHAnsi" w:cstheme="minorHAnsi"/>
                            <w:bCs/>
                            <w:color w:val="000000"/>
                            <w:sz w:val="18"/>
                            <w:szCs w:val="18"/>
                            <w:lang w:val="en-US" w:bidi="en-US"/>
                          </w:rPr>
                          <w:t xml:space="preserve">As at </w:t>
                        </w:r>
                      </w:p>
                      <w:p w14:paraId="147CEFB7" w14:textId="06A5EDBF" w:rsidR="00671029" w:rsidRPr="00846EEE" w:rsidRDefault="00671029" w:rsidP="00671029">
                        <w:pPr>
                          <w:spacing w:after="0" w:line="240" w:lineRule="auto"/>
                          <w:jc w:val="right"/>
                          <w:rPr>
                            <w:rFonts w:asciiTheme="minorHAnsi" w:hAnsiTheme="minorHAnsi" w:cstheme="minorHAnsi"/>
                            <w:bCs/>
                            <w:color w:val="000000"/>
                            <w:sz w:val="18"/>
                            <w:szCs w:val="18"/>
                            <w:lang w:val="en-US" w:bidi="en-US"/>
                          </w:rPr>
                        </w:pPr>
                        <w:r w:rsidRPr="00846EEE">
                          <w:rPr>
                            <w:rFonts w:asciiTheme="minorHAnsi" w:hAnsiTheme="minorHAnsi" w:cstheme="minorHAnsi"/>
                            <w:bCs/>
                            <w:color w:val="000000"/>
                            <w:sz w:val="18"/>
                            <w:szCs w:val="18"/>
                            <w:lang w:bidi="en-US"/>
                          </w:rPr>
                          <w:t>31 Jul</w:t>
                        </w:r>
                        <w:r>
                          <w:rPr>
                            <w:rFonts w:asciiTheme="minorHAnsi" w:hAnsiTheme="minorHAnsi" w:cstheme="minorHAnsi"/>
                            <w:bCs/>
                            <w:color w:val="000000"/>
                            <w:sz w:val="18"/>
                            <w:szCs w:val="18"/>
                            <w:lang w:bidi="en-US"/>
                          </w:rPr>
                          <w:t>y</w:t>
                        </w:r>
                        <w:r w:rsidRPr="00846EEE">
                          <w:rPr>
                            <w:rFonts w:asciiTheme="minorHAnsi" w:hAnsiTheme="minorHAnsi" w:cstheme="minorHAnsi"/>
                            <w:bCs/>
                            <w:color w:val="000000"/>
                            <w:sz w:val="18"/>
                            <w:szCs w:val="18"/>
                            <w:lang w:bidi="en-US"/>
                          </w:rPr>
                          <w:t xml:space="preserve"> 2022</w:t>
                        </w:r>
                      </w:p>
                    </w:tc>
                  </w:tr>
                  <w:tr w:rsidR="00671029" w:rsidRPr="00551D5A" w14:paraId="7D77C588" w14:textId="77777777" w:rsidTr="00997EF7">
                    <w:tc>
                      <w:tcPr>
                        <w:tcW w:w="4857" w:type="dxa"/>
                        <w:tcBorders>
                          <w:top w:val="nil"/>
                          <w:left w:val="nil"/>
                          <w:bottom w:val="single" w:sz="4" w:space="0" w:color="auto"/>
                          <w:right w:val="nil"/>
                        </w:tcBorders>
                        <w:shd w:val="clear" w:color="auto" w:fill="auto"/>
                      </w:tcPr>
                      <w:p w14:paraId="31948F35" w14:textId="77777777" w:rsidR="00671029" w:rsidRPr="00846EEE" w:rsidRDefault="00671029" w:rsidP="00671029">
                        <w:pPr>
                          <w:spacing w:after="0" w:line="240" w:lineRule="auto"/>
                          <w:rPr>
                            <w:rFonts w:asciiTheme="minorHAnsi" w:hAnsiTheme="minorHAnsi" w:cstheme="minorHAnsi"/>
                            <w:b/>
                            <w:bCs/>
                            <w:color w:val="000000"/>
                            <w:sz w:val="18"/>
                            <w:szCs w:val="18"/>
                            <w:lang w:val="en-US" w:bidi="en-US"/>
                          </w:rPr>
                        </w:pPr>
                      </w:p>
                    </w:tc>
                    <w:tc>
                      <w:tcPr>
                        <w:tcW w:w="1537" w:type="dxa"/>
                        <w:tcBorders>
                          <w:top w:val="nil"/>
                          <w:left w:val="nil"/>
                          <w:bottom w:val="single" w:sz="4" w:space="0" w:color="auto"/>
                          <w:right w:val="nil"/>
                        </w:tcBorders>
                        <w:shd w:val="clear" w:color="auto" w:fill="auto"/>
                        <w:vAlign w:val="center"/>
                      </w:tcPr>
                      <w:p w14:paraId="2B46C54A" w14:textId="7DD9C046" w:rsidR="00671029" w:rsidRPr="00846EEE" w:rsidRDefault="00671029" w:rsidP="00671029">
                        <w:pPr>
                          <w:pStyle w:val="DecimalAligned"/>
                          <w:widowControl w:val="0"/>
                          <w:tabs>
                            <w:tab w:val="clear" w:pos="360"/>
                            <w:tab w:val="left" w:pos="352"/>
                            <w:tab w:val="left" w:pos="464"/>
                          </w:tabs>
                          <w:autoSpaceDE w:val="0"/>
                          <w:autoSpaceDN w:val="0"/>
                          <w:adjustRightInd w:val="0"/>
                          <w:spacing w:after="0" w:line="240" w:lineRule="auto"/>
                          <w:jc w:val="right"/>
                          <w:rPr>
                            <w:rFonts w:asciiTheme="minorHAnsi" w:hAnsiTheme="minorHAnsi" w:cstheme="minorHAnsi"/>
                            <w:b/>
                            <w:bCs/>
                            <w:color w:val="000000"/>
                            <w:sz w:val="18"/>
                            <w:szCs w:val="18"/>
                          </w:rPr>
                        </w:pPr>
                        <w:r w:rsidRPr="00846EEE">
                          <w:rPr>
                            <w:rFonts w:asciiTheme="minorHAnsi" w:hAnsiTheme="minorHAnsi" w:cstheme="minorHAnsi"/>
                            <w:b/>
                            <w:bCs/>
                            <w:sz w:val="18"/>
                            <w:szCs w:val="18"/>
                          </w:rPr>
                          <w:t>£’000</w:t>
                        </w:r>
                      </w:p>
                    </w:tc>
                    <w:tc>
                      <w:tcPr>
                        <w:tcW w:w="1537" w:type="dxa"/>
                        <w:tcBorders>
                          <w:top w:val="nil"/>
                          <w:left w:val="nil"/>
                          <w:bottom w:val="single" w:sz="4" w:space="0" w:color="auto"/>
                          <w:right w:val="nil"/>
                        </w:tcBorders>
                        <w:vAlign w:val="center"/>
                      </w:tcPr>
                      <w:p w14:paraId="550B63F9" w14:textId="25B23D09" w:rsidR="00671029" w:rsidRPr="00846EEE" w:rsidRDefault="00671029" w:rsidP="00671029">
                        <w:pPr>
                          <w:pStyle w:val="DecimalAligned"/>
                          <w:widowControl w:val="0"/>
                          <w:tabs>
                            <w:tab w:val="clear" w:pos="360"/>
                            <w:tab w:val="left" w:pos="352"/>
                            <w:tab w:val="left" w:pos="464"/>
                          </w:tabs>
                          <w:autoSpaceDE w:val="0"/>
                          <w:autoSpaceDN w:val="0"/>
                          <w:adjustRightInd w:val="0"/>
                          <w:spacing w:after="0" w:line="240" w:lineRule="auto"/>
                          <w:jc w:val="right"/>
                          <w:rPr>
                            <w:rFonts w:asciiTheme="minorHAnsi" w:hAnsiTheme="minorHAnsi" w:cstheme="minorHAnsi"/>
                            <w:bCs/>
                            <w:color w:val="000000"/>
                            <w:sz w:val="18"/>
                            <w:szCs w:val="18"/>
                          </w:rPr>
                        </w:pPr>
                        <w:r w:rsidRPr="00002756">
                          <w:rPr>
                            <w:rFonts w:asciiTheme="minorHAnsi" w:hAnsiTheme="minorHAnsi" w:cstheme="minorHAnsi"/>
                            <w:sz w:val="18"/>
                            <w:szCs w:val="18"/>
                          </w:rPr>
                          <w:t>£’000</w:t>
                        </w:r>
                      </w:p>
                    </w:tc>
                    <w:tc>
                      <w:tcPr>
                        <w:tcW w:w="1538" w:type="dxa"/>
                        <w:tcBorders>
                          <w:top w:val="nil"/>
                          <w:left w:val="nil"/>
                          <w:bottom w:val="single" w:sz="4" w:space="0" w:color="auto"/>
                          <w:right w:val="nil"/>
                        </w:tcBorders>
                        <w:shd w:val="clear" w:color="auto" w:fill="auto"/>
                        <w:vAlign w:val="center"/>
                      </w:tcPr>
                      <w:p w14:paraId="31073B39" w14:textId="41DC42A2" w:rsidR="00671029" w:rsidRPr="00846EEE" w:rsidRDefault="00671029" w:rsidP="00671029">
                        <w:pPr>
                          <w:pStyle w:val="DecimalAligned"/>
                          <w:widowControl w:val="0"/>
                          <w:tabs>
                            <w:tab w:val="clear" w:pos="360"/>
                            <w:tab w:val="left" w:pos="352"/>
                            <w:tab w:val="left" w:pos="464"/>
                          </w:tabs>
                          <w:autoSpaceDE w:val="0"/>
                          <w:autoSpaceDN w:val="0"/>
                          <w:adjustRightInd w:val="0"/>
                          <w:spacing w:after="0" w:line="240" w:lineRule="auto"/>
                          <w:jc w:val="right"/>
                          <w:rPr>
                            <w:rFonts w:asciiTheme="minorHAnsi" w:hAnsiTheme="minorHAnsi" w:cstheme="minorHAnsi"/>
                            <w:color w:val="000000"/>
                            <w:sz w:val="18"/>
                            <w:szCs w:val="18"/>
                          </w:rPr>
                        </w:pPr>
                        <w:r w:rsidRPr="00002756">
                          <w:rPr>
                            <w:rFonts w:asciiTheme="minorHAnsi" w:hAnsiTheme="minorHAnsi" w:cstheme="minorHAnsi"/>
                            <w:sz w:val="18"/>
                            <w:szCs w:val="18"/>
                          </w:rPr>
                          <w:t>£’000</w:t>
                        </w:r>
                      </w:p>
                    </w:tc>
                  </w:tr>
                  <w:tr w:rsidR="006F0BD3" w:rsidRPr="00551D5A" w14:paraId="7EBF4B7D" w14:textId="77777777" w:rsidTr="00997EF7">
                    <w:trPr>
                      <w:trHeight w:val="521"/>
                    </w:trPr>
                    <w:tc>
                      <w:tcPr>
                        <w:tcW w:w="4857" w:type="dxa"/>
                        <w:tcBorders>
                          <w:top w:val="single" w:sz="4" w:space="0" w:color="auto"/>
                        </w:tcBorders>
                        <w:shd w:val="clear" w:color="auto" w:fill="auto"/>
                      </w:tcPr>
                      <w:p w14:paraId="12E63BCA" w14:textId="77777777" w:rsidR="006F0BD3" w:rsidRPr="00846EEE" w:rsidRDefault="006F0BD3" w:rsidP="006F0BD3">
                        <w:pPr>
                          <w:spacing w:after="0" w:line="240" w:lineRule="auto"/>
                          <w:rPr>
                            <w:rFonts w:asciiTheme="minorHAnsi" w:hAnsiTheme="minorHAnsi" w:cstheme="minorHAnsi"/>
                            <w:color w:val="000000"/>
                            <w:sz w:val="18"/>
                            <w:szCs w:val="18"/>
                            <w:lang w:val="en-US" w:bidi="en-US"/>
                          </w:rPr>
                        </w:pPr>
                        <w:r w:rsidRPr="00846EEE">
                          <w:rPr>
                            <w:rFonts w:asciiTheme="minorHAnsi" w:hAnsiTheme="minorHAnsi" w:cstheme="minorHAnsi"/>
                            <w:color w:val="000000"/>
                            <w:sz w:val="18"/>
                            <w:szCs w:val="18"/>
                            <w:lang w:val="en-US" w:bidi="en-US"/>
                          </w:rPr>
                          <w:t>Trade payables</w:t>
                        </w:r>
                      </w:p>
                      <w:p w14:paraId="259066E3" w14:textId="77777777" w:rsidR="006F0BD3" w:rsidRPr="00846EEE" w:rsidRDefault="006F0BD3" w:rsidP="006F0BD3">
                        <w:pPr>
                          <w:spacing w:after="0" w:line="240" w:lineRule="auto"/>
                          <w:rPr>
                            <w:rFonts w:asciiTheme="minorHAnsi" w:hAnsiTheme="minorHAnsi" w:cstheme="minorHAnsi"/>
                            <w:color w:val="000000"/>
                            <w:sz w:val="18"/>
                            <w:szCs w:val="18"/>
                            <w:lang w:val="en-US" w:bidi="en-US"/>
                          </w:rPr>
                        </w:pPr>
                        <w:r w:rsidRPr="00846EEE">
                          <w:rPr>
                            <w:rFonts w:asciiTheme="minorHAnsi" w:hAnsiTheme="minorHAnsi" w:cstheme="minorHAnsi"/>
                            <w:color w:val="000000"/>
                            <w:sz w:val="18"/>
                            <w:szCs w:val="18"/>
                            <w:lang w:val="en-US" w:bidi="en-US"/>
                          </w:rPr>
                          <w:t>Borrowings</w:t>
                        </w:r>
                      </w:p>
                      <w:p w14:paraId="2FC7D647" w14:textId="77777777" w:rsidR="006F0BD3" w:rsidRPr="00846EEE" w:rsidRDefault="006F0BD3" w:rsidP="006F0BD3">
                        <w:pPr>
                          <w:spacing w:after="0" w:line="240" w:lineRule="auto"/>
                          <w:rPr>
                            <w:rFonts w:asciiTheme="minorHAnsi" w:hAnsiTheme="minorHAnsi" w:cstheme="minorHAnsi"/>
                            <w:color w:val="000000"/>
                            <w:sz w:val="18"/>
                            <w:szCs w:val="18"/>
                            <w:lang w:val="en-US" w:bidi="en-US"/>
                          </w:rPr>
                        </w:pPr>
                        <w:r w:rsidRPr="00846EEE">
                          <w:rPr>
                            <w:rFonts w:asciiTheme="minorHAnsi" w:hAnsiTheme="minorHAnsi" w:cstheme="minorHAnsi"/>
                            <w:color w:val="000000"/>
                            <w:sz w:val="18"/>
                            <w:szCs w:val="18"/>
                            <w:lang w:val="en-US" w:bidi="en-US"/>
                          </w:rPr>
                          <w:t>Lease liabilities</w:t>
                        </w:r>
                      </w:p>
                      <w:p w14:paraId="20742408" w14:textId="77777777" w:rsidR="006F0BD3" w:rsidRPr="00846EEE" w:rsidRDefault="006F0BD3" w:rsidP="006F0BD3">
                        <w:pPr>
                          <w:spacing w:after="0" w:line="240" w:lineRule="auto"/>
                          <w:rPr>
                            <w:rFonts w:asciiTheme="minorHAnsi" w:hAnsiTheme="minorHAnsi" w:cstheme="minorHAnsi"/>
                            <w:color w:val="000000"/>
                            <w:sz w:val="18"/>
                            <w:szCs w:val="18"/>
                            <w:lang w:val="en-US" w:bidi="en-US"/>
                          </w:rPr>
                        </w:pPr>
                        <w:r w:rsidRPr="00846EEE">
                          <w:rPr>
                            <w:rFonts w:asciiTheme="minorHAnsi" w:hAnsiTheme="minorHAnsi" w:cstheme="minorHAnsi"/>
                            <w:color w:val="000000"/>
                            <w:sz w:val="18"/>
                            <w:szCs w:val="18"/>
                            <w:lang w:val="en-US" w:bidi="en-US"/>
                          </w:rPr>
                          <w:t>Other payables</w:t>
                        </w:r>
                      </w:p>
                      <w:p w14:paraId="22971043" w14:textId="77777777" w:rsidR="006F0BD3" w:rsidRPr="00846EEE" w:rsidRDefault="006F0BD3" w:rsidP="006F0BD3">
                        <w:pPr>
                          <w:spacing w:after="0" w:line="240" w:lineRule="auto"/>
                          <w:rPr>
                            <w:rFonts w:asciiTheme="minorHAnsi" w:hAnsiTheme="minorHAnsi" w:cstheme="minorHAnsi"/>
                            <w:color w:val="000000"/>
                            <w:sz w:val="18"/>
                            <w:szCs w:val="18"/>
                            <w:lang w:val="en-US" w:bidi="en-US"/>
                          </w:rPr>
                        </w:pPr>
                        <w:r w:rsidRPr="00846EEE">
                          <w:rPr>
                            <w:rFonts w:asciiTheme="minorHAnsi" w:hAnsiTheme="minorHAnsi" w:cstheme="minorHAnsi"/>
                            <w:color w:val="000000"/>
                            <w:sz w:val="18"/>
                            <w:szCs w:val="18"/>
                            <w:lang w:val="en-US" w:bidi="en-US"/>
                          </w:rPr>
                          <w:t>Deferred consideration</w:t>
                        </w:r>
                      </w:p>
                    </w:tc>
                    <w:tc>
                      <w:tcPr>
                        <w:tcW w:w="1537" w:type="dxa"/>
                        <w:tcBorders>
                          <w:top w:val="single" w:sz="4" w:space="0" w:color="auto"/>
                        </w:tcBorders>
                        <w:shd w:val="clear" w:color="auto" w:fill="auto"/>
                      </w:tcPr>
                      <w:p w14:paraId="0B057F2B" w14:textId="77777777" w:rsidR="006F0BD3" w:rsidRDefault="00671029" w:rsidP="006F0BD3">
                        <w:pPr>
                          <w:spacing w:after="0" w:line="240" w:lineRule="auto"/>
                          <w:jc w:val="right"/>
                          <w:rPr>
                            <w:rStyle w:val="SubtleEmphasis"/>
                            <w:rFonts w:asciiTheme="minorHAnsi" w:hAnsiTheme="minorHAnsi" w:cstheme="minorHAnsi"/>
                            <w:b/>
                            <w:i w:val="0"/>
                            <w:color w:val="000000"/>
                            <w:sz w:val="18"/>
                            <w:szCs w:val="18"/>
                            <w:lang w:bidi="en-US"/>
                          </w:rPr>
                        </w:pPr>
                        <w:r>
                          <w:rPr>
                            <w:rStyle w:val="SubtleEmphasis"/>
                            <w:rFonts w:asciiTheme="minorHAnsi" w:hAnsiTheme="minorHAnsi" w:cstheme="minorHAnsi"/>
                            <w:b/>
                            <w:i w:val="0"/>
                            <w:color w:val="000000"/>
                            <w:sz w:val="18"/>
                            <w:szCs w:val="18"/>
                            <w:lang w:bidi="en-US"/>
                          </w:rPr>
                          <w:t>20,122</w:t>
                        </w:r>
                      </w:p>
                      <w:p w14:paraId="2BE67F01" w14:textId="77777777" w:rsidR="00671029" w:rsidRDefault="00671029" w:rsidP="006F0BD3">
                        <w:pPr>
                          <w:spacing w:after="0" w:line="240" w:lineRule="auto"/>
                          <w:jc w:val="right"/>
                          <w:rPr>
                            <w:rStyle w:val="SubtleEmphasis"/>
                            <w:rFonts w:asciiTheme="minorHAnsi" w:hAnsiTheme="minorHAnsi" w:cstheme="minorHAnsi"/>
                            <w:b/>
                            <w:i w:val="0"/>
                            <w:color w:val="000000"/>
                            <w:sz w:val="18"/>
                            <w:szCs w:val="18"/>
                            <w:lang w:bidi="en-US"/>
                          </w:rPr>
                        </w:pPr>
                        <w:r>
                          <w:rPr>
                            <w:rStyle w:val="SubtleEmphasis"/>
                            <w:rFonts w:asciiTheme="minorHAnsi" w:hAnsiTheme="minorHAnsi" w:cstheme="minorHAnsi"/>
                            <w:b/>
                            <w:i w:val="0"/>
                            <w:color w:val="000000"/>
                            <w:sz w:val="18"/>
                            <w:szCs w:val="18"/>
                            <w:lang w:bidi="en-US"/>
                          </w:rPr>
                          <w:t>24,392</w:t>
                        </w:r>
                      </w:p>
                      <w:p w14:paraId="12F63570" w14:textId="77777777" w:rsidR="00671029" w:rsidRDefault="00671029" w:rsidP="006F0BD3">
                        <w:pPr>
                          <w:spacing w:after="0" w:line="240" w:lineRule="auto"/>
                          <w:jc w:val="right"/>
                          <w:rPr>
                            <w:rStyle w:val="SubtleEmphasis"/>
                            <w:rFonts w:asciiTheme="minorHAnsi" w:hAnsiTheme="minorHAnsi" w:cstheme="minorHAnsi"/>
                            <w:b/>
                            <w:i w:val="0"/>
                            <w:color w:val="000000"/>
                            <w:sz w:val="18"/>
                            <w:szCs w:val="18"/>
                            <w:lang w:bidi="en-US"/>
                          </w:rPr>
                        </w:pPr>
                        <w:r>
                          <w:rPr>
                            <w:rStyle w:val="SubtleEmphasis"/>
                            <w:rFonts w:asciiTheme="minorHAnsi" w:hAnsiTheme="minorHAnsi" w:cstheme="minorHAnsi"/>
                            <w:b/>
                            <w:i w:val="0"/>
                            <w:color w:val="000000"/>
                            <w:sz w:val="18"/>
                            <w:szCs w:val="18"/>
                            <w:lang w:bidi="en-US"/>
                          </w:rPr>
                          <w:t>2,353</w:t>
                        </w:r>
                      </w:p>
                      <w:p w14:paraId="7AB622D0" w14:textId="585EF7C3" w:rsidR="00671029" w:rsidRDefault="00671029" w:rsidP="006F0BD3">
                        <w:pPr>
                          <w:spacing w:after="0" w:line="240" w:lineRule="auto"/>
                          <w:jc w:val="right"/>
                          <w:rPr>
                            <w:rStyle w:val="SubtleEmphasis"/>
                            <w:rFonts w:asciiTheme="minorHAnsi" w:hAnsiTheme="minorHAnsi" w:cstheme="minorHAnsi"/>
                            <w:b/>
                            <w:i w:val="0"/>
                            <w:color w:val="000000"/>
                            <w:sz w:val="18"/>
                            <w:szCs w:val="18"/>
                            <w:lang w:bidi="en-US"/>
                          </w:rPr>
                        </w:pPr>
                        <w:r>
                          <w:rPr>
                            <w:rStyle w:val="SubtleEmphasis"/>
                            <w:rFonts w:asciiTheme="minorHAnsi" w:hAnsiTheme="minorHAnsi" w:cstheme="minorHAnsi"/>
                            <w:b/>
                            <w:i w:val="0"/>
                            <w:color w:val="000000"/>
                            <w:sz w:val="18"/>
                            <w:szCs w:val="18"/>
                            <w:lang w:bidi="en-US"/>
                          </w:rPr>
                          <w:t>7,</w:t>
                        </w:r>
                        <w:r w:rsidR="00D71434">
                          <w:rPr>
                            <w:rStyle w:val="SubtleEmphasis"/>
                            <w:rFonts w:asciiTheme="minorHAnsi" w:hAnsiTheme="minorHAnsi" w:cstheme="minorHAnsi"/>
                            <w:b/>
                            <w:i w:val="0"/>
                            <w:color w:val="000000"/>
                            <w:sz w:val="18"/>
                            <w:szCs w:val="18"/>
                            <w:lang w:bidi="en-US"/>
                          </w:rPr>
                          <w:t>713</w:t>
                        </w:r>
                      </w:p>
                      <w:p w14:paraId="68420A69" w14:textId="703890DC" w:rsidR="00671029" w:rsidRPr="00846EEE" w:rsidRDefault="00671029" w:rsidP="006F0BD3">
                        <w:pPr>
                          <w:spacing w:after="0" w:line="240" w:lineRule="auto"/>
                          <w:jc w:val="right"/>
                          <w:rPr>
                            <w:rStyle w:val="SubtleEmphasis"/>
                            <w:rFonts w:asciiTheme="minorHAnsi" w:hAnsiTheme="minorHAnsi" w:cstheme="minorHAnsi"/>
                            <w:b/>
                            <w:i w:val="0"/>
                            <w:color w:val="000000"/>
                            <w:sz w:val="18"/>
                            <w:szCs w:val="18"/>
                            <w:lang w:bidi="en-US"/>
                          </w:rPr>
                        </w:pPr>
                        <w:r>
                          <w:rPr>
                            <w:rStyle w:val="SubtleEmphasis"/>
                            <w:rFonts w:asciiTheme="minorHAnsi" w:hAnsiTheme="minorHAnsi" w:cstheme="minorHAnsi"/>
                            <w:b/>
                            <w:i w:val="0"/>
                            <w:color w:val="000000"/>
                            <w:sz w:val="18"/>
                            <w:szCs w:val="18"/>
                            <w:lang w:bidi="en-US"/>
                          </w:rPr>
                          <w:t>494</w:t>
                        </w:r>
                      </w:p>
                    </w:tc>
                    <w:tc>
                      <w:tcPr>
                        <w:tcW w:w="1537" w:type="dxa"/>
                        <w:tcBorders>
                          <w:top w:val="single" w:sz="4" w:space="0" w:color="auto"/>
                        </w:tcBorders>
                      </w:tcPr>
                      <w:p w14:paraId="34780E40" w14:textId="77777777" w:rsidR="006F0BD3" w:rsidRPr="00846EEE" w:rsidRDefault="006F0BD3" w:rsidP="006F0BD3">
                        <w:pPr>
                          <w:spacing w:after="0" w:line="240" w:lineRule="auto"/>
                          <w:jc w:val="right"/>
                          <w:rPr>
                            <w:rStyle w:val="SubtleEmphasis"/>
                            <w:rFonts w:asciiTheme="minorHAnsi" w:hAnsiTheme="minorHAnsi" w:cstheme="minorHAnsi"/>
                            <w:bCs/>
                            <w:i w:val="0"/>
                            <w:color w:val="000000"/>
                            <w:sz w:val="18"/>
                            <w:szCs w:val="18"/>
                            <w:lang w:bidi="en-US"/>
                          </w:rPr>
                        </w:pPr>
                        <w:r w:rsidRPr="00846EEE">
                          <w:rPr>
                            <w:rStyle w:val="SubtleEmphasis"/>
                            <w:rFonts w:asciiTheme="minorHAnsi" w:hAnsiTheme="minorHAnsi" w:cstheme="minorHAnsi"/>
                            <w:bCs/>
                            <w:i w:val="0"/>
                            <w:color w:val="000000"/>
                            <w:sz w:val="18"/>
                            <w:szCs w:val="18"/>
                            <w:lang w:bidi="en-US"/>
                          </w:rPr>
                          <w:t>19,259</w:t>
                        </w:r>
                      </w:p>
                      <w:p w14:paraId="7CC77C85" w14:textId="77777777" w:rsidR="006F0BD3" w:rsidRPr="00846EEE" w:rsidRDefault="006F0BD3" w:rsidP="006F0BD3">
                        <w:pPr>
                          <w:spacing w:after="0" w:line="240" w:lineRule="auto"/>
                          <w:jc w:val="right"/>
                          <w:rPr>
                            <w:rStyle w:val="SubtleEmphasis"/>
                            <w:rFonts w:asciiTheme="minorHAnsi" w:hAnsiTheme="minorHAnsi" w:cstheme="minorHAnsi"/>
                            <w:bCs/>
                            <w:i w:val="0"/>
                            <w:color w:val="000000"/>
                            <w:sz w:val="18"/>
                            <w:szCs w:val="18"/>
                            <w:lang w:bidi="en-US"/>
                          </w:rPr>
                        </w:pPr>
                        <w:r w:rsidRPr="00846EEE">
                          <w:rPr>
                            <w:rStyle w:val="SubtleEmphasis"/>
                            <w:rFonts w:asciiTheme="minorHAnsi" w:hAnsiTheme="minorHAnsi" w:cstheme="minorHAnsi"/>
                            <w:bCs/>
                            <w:i w:val="0"/>
                            <w:color w:val="000000"/>
                            <w:sz w:val="18"/>
                            <w:szCs w:val="18"/>
                            <w:lang w:bidi="en-US"/>
                          </w:rPr>
                          <w:t>30,330</w:t>
                        </w:r>
                      </w:p>
                      <w:p w14:paraId="0C010144" w14:textId="77777777" w:rsidR="006F0BD3" w:rsidRPr="00846EEE" w:rsidRDefault="006F0BD3" w:rsidP="006F0BD3">
                        <w:pPr>
                          <w:spacing w:after="0" w:line="240" w:lineRule="auto"/>
                          <w:jc w:val="right"/>
                          <w:rPr>
                            <w:rStyle w:val="SubtleEmphasis"/>
                            <w:rFonts w:asciiTheme="minorHAnsi" w:hAnsiTheme="minorHAnsi" w:cstheme="minorHAnsi"/>
                            <w:bCs/>
                            <w:i w:val="0"/>
                            <w:color w:val="000000"/>
                            <w:sz w:val="18"/>
                            <w:szCs w:val="18"/>
                            <w:lang w:bidi="en-US"/>
                          </w:rPr>
                        </w:pPr>
                        <w:r w:rsidRPr="00846EEE">
                          <w:rPr>
                            <w:rStyle w:val="SubtleEmphasis"/>
                            <w:rFonts w:asciiTheme="minorHAnsi" w:hAnsiTheme="minorHAnsi" w:cstheme="minorHAnsi"/>
                            <w:bCs/>
                            <w:i w:val="0"/>
                            <w:color w:val="000000"/>
                            <w:sz w:val="18"/>
                            <w:szCs w:val="18"/>
                            <w:lang w:bidi="en-US"/>
                          </w:rPr>
                          <w:t>2,607</w:t>
                        </w:r>
                      </w:p>
                      <w:p w14:paraId="1D9A466D" w14:textId="77777777" w:rsidR="006F0BD3" w:rsidRPr="00846EEE" w:rsidRDefault="006F0BD3" w:rsidP="006F0BD3">
                        <w:pPr>
                          <w:spacing w:after="0" w:line="240" w:lineRule="auto"/>
                          <w:jc w:val="right"/>
                          <w:rPr>
                            <w:rStyle w:val="SubtleEmphasis"/>
                            <w:rFonts w:asciiTheme="minorHAnsi" w:hAnsiTheme="minorHAnsi" w:cstheme="minorHAnsi"/>
                            <w:bCs/>
                            <w:i w:val="0"/>
                            <w:color w:val="000000"/>
                            <w:sz w:val="18"/>
                            <w:szCs w:val="18"/>
                            <w:lang w:bidi="en-US"/>
                          </w:rPr>
                        </w:pPr>
                        <w:r w:rsidRPr="00846EEE">
                          <w:rPr>
                            <w:rStyle w:val="SubtleEmphasis"/>
                            <w:rFonts w:asciiTheme="minorHAnsi" w:hAnsiTheme="minorHAnsi" w:cstheme="minorHAnsi"/>
                            <w:bCs/>
                            <w:i w:val="0"/>
                            <w:color w:val="000000"/>
                            <w:sz w:val="18"/>
                            <w:szCs w:val="18"/>
                            <w:lang w:bidi="en-US"/>
                          </w:rPr>
                          <w:t>7,737</w:t>
                        </w:r>
                      </w:p>
                      <w:p w14:paraId="4AFC88D3" w14:textId="3F421905" w:rsidR="006F0BD3" w:rsidRPr="00846EEE" w:rsidRDefault="006F0BD3" w:rsidP="006F0BD3">
                        <w:pPr>
                          <w:spacing w:after="0" w:line="240" w:lineRule="auto"/>
                          <w:jc w:val="right"/>
                          <w:rPr>
                            <w:rStyle w:val="SubtleEmphasis"/>
                            <w:rFonts w:asciiTheme="minorHAnsi" w:hAnsiTheme="minorHAnsi" w:cstheme="minorHAnsi"/>
                            <w:bCs/>
                            <w:i w:val="0"/>
                            <w:color w:val="000000"/>
                            <w:sz w:val="18"/>
                            <w:szCs w:val="18"/>
                            <w:lang w:bidi="en-US"/>
                          </w:rPr>
                        </w:pPr>
                        <w:r w:rsidRPr="00846EEE">
                          <w:rPr>
                            <w:rStyle w:val="SubtleEmphasis"/>
                            <w:rFonts w:asciiTheme="minorHAnsi" w:hAnsiTheme="minorHAnsi" w:cstheme="minorHAnsi"/>
                            <w:bCs/>
                            <w:i w:val="0"/>
                            <w:color w:val="000000"/>
                            <w:sz w:val="18"/>
                            <w:szCs w:val="18"/>
                            <w:lang w:bidi="en-US"/>
                          </w:rPr>
                          <w:t>1,481</w:t>
                        </w:r>
                      </w:p>
                    </w:tc>
                    <w:tc>
                      <w:tcPr>
                        <w:tcW w:w="1538" w:type="dxa"/>
                        <w:tcBorders>
                          <w:top w:val="single" w:sz="4" w:space="0" w:color="auto"/>
                        </w:tcBorders>
                        <w:shd w:val="clear" w:color="auto" w:fill="auto"/>
                      </w:tcPr>
                      <w:p w14:paraId="6DEDE271" w14:textId="77777777" w:rsidR="006F0BD3" w:rsidRDefault="007C0C67" w:rsidP="006F0BD3">
                        <w:pPr>
                          <w:spacing w:after="0" w:line="240" w:lineRule="auto"/>
                          <w:jc w:val="right"/>
                          <w:rPr>
                            <w:rFonts w:asciiTheme="minorHAnsi" w:hAnsiTheme="minorHAnsi" w:cstheme="minorHAnsi"/>
                            <w:color w:val="000000"/>
                            <w:sz w:val="18"/>
                            <w:szCs w:val="18"/>
                            <w:lang w:val="en-US" w:bidi="en-US"/>
                          </w:rPr>
                        </w:pPr>
                        <w:r>
                          <w:rPr>
                            <w:rFonts w:asciiTheme="minorHAnsi" w:hAnsiTheme="minorHAnsi" w:cstheme="minorHAnsi"/>
                            <w:color w:val="000000"/>
                            <w:sz w:val="18"/>
                            <w:szCs w:val="18"/>
                            <w:lang w:val="en-US" w:bidi="en-US"/>
                          </w:rPr>
                          <w:t>20,662</w:t>
                        </w:r>
                      </w:p>
                      <w:p w14:paraId="456514D0" w14:textId="77777777" w:rsidR="007C0C67" w:rsidRDefault="007C0C67" w:rsidP="006F0BD3">
                        <w:pPr>
                          <w:spacing w:after="0" w:line="240" w:lineRule="auto"/>
                          <w:jc w:val="right"/>
                          <w:rPr>
                            <w:rFonts w:asciiTheme="minorHAnsi" w:hAnsiTheme="minorHAnsi" w:cstheme="minorHAnsi"/>
                            <w:color w:val="000000"/>
                            <w:sz w:val="18"/>
                            <w:szCs w:val="18"/>
                            <w:lang w:val="en-US" w:bidi="en-US"/>
                          </w:rPr>
                        </w:pPr>
                        <w:r>
                          <w:rPr>
                            <w:rFonts w:asciiTheme="minorHAnsi" w:hAnsiTheme="minorHAnsi" w:cstheme="minorHAnsi"/>
                            <w:color w:val="000000"/>
                            <w:sz w:val="18"/>
                            <w:szCs w:val="18"/>
                            <w:lang w:val="en-US" w:bidi="en-US"/>
                          </w:rPr>
                          <w:t>30,458</w:t>
                        </w:r>
                      </w:p>
                      <w:p w14:paraId="4FE633FF" w14:textId="77777777" w:rsidR="007C0C67" w:rsidRDefault="007C0C67" w:rsidP="006F0BD3">
                        <w:pPr>
                          <w:spacing w:after="0" w:line="240" w:lineRule="auto"/>
                          <w:jc w:val="right"/>
                          <w:rPr>
                            <w:rFonts w:asciiTheme="minorHAnsi" w:hAnsiTheme="minorHAnsi" w:cstheme="minorHAnsi"/>
                            <w:color w:val="000000"/>
                            <w:sz w:val="18"/>
                            <w:szCs w:val="18"/>
                            <w:lang w:val="en-US" w:bidi="en-US"/>
                          </w:rPr>
                        </w:pPr>
                        <w:r>
                          <w:rPr>
                            <w:rFonts w:asciiTheme="minorHAnsi" w:hAnsiTheme="minorHAnsi" w:cstheme="minorHAnsi"/>
                            <w:color w:val="000000"/>
                            <w:sz w:val="18"/>
                            <w:szCs w:val="18"/>
                            <w:lang w:val="en-US" w:bidi="en-US"/>
                          </w:rPr>
                          <w:t>2,757</w:t>
                        </w:r>
                      </w:p>
                      <w:p w14:paraId="532FFEF2" w14:textId="77777777" w:rsidR="007C0C67" w:rsidRDefault="007C0C67" w:rsidP="006F0BD3">
                        <w:pPr>
                          <w:spacing w:after="0" w:line="240" w:lineRule="auto"/>
                          <w:jc w:val="right"/>
                          <w:rPr>
                            <w:rFonts w:asciiTheme="minorHAnsi" w:hAnsiTheme="minorHAnsi" w:cstheme="minorHAnsi"/>
                            <w:color w:val="000000"/>
                            <w:sz w:val="18"/>
                            <w:szCs w:val="18"/>
                            <w:lang w:val="en-US" w:bidi="en-US"/>
                          </w:rPr>
                        </w:pPr>
                        <w:r>
                          <w:rPr>
                            <w:rFonts w:asciiTheme="minorHAnsi" w:hAnsiTheme="minorHAnsi" w:cstheme="minorHAnsi"/>
                            <w:color w:val="000000"/>
                            <w:sz w:val="18"/>
                            <w:szCs w:val="18"/>
                            <w:lang w:val="en-US" w:bidi="en-US"/>
                          </w:rPr>
                          <w:t>7,433</w:t>
                        </w:r>
                      </w:p>
                      <w:p w14:paraId="0034A58A" w14:textId="7F15A188" w:rsidR="007C0C67" w:rsidRPr="00846EEE" w:rsidRDefault="007C0C67" w:rsidP="006F0BD3">
                        <w:pPr>
                          <w:spacing w:after="0" w:line="240" w:lineRule="auto"/>
                          <w:jc w:val="right"/>
                          <w:rPr>
                            <w:rFonts w:asciiTheme="minorHAnsi" w:hAnsiTheme="minorHAnsi" w:cstheme="minorHAnsi"/>
                            <w:color w:val="000000"/>
                            <w:sz w:val="18"/>
                            <w:szCs w:val="18"/>
                            <w:lang w:val="en-US" w:bidi="en-US"/>
                          </w:rPr>
                        </w:pPr>
                        <w:r>
                          <w:rPr>
                            <w:rFonts w:asciiTheme="minorHAnsi" w:hAnsiTheme="minorHAnsi" w:cstheme="minorHAnsi"/>
                            <w:color w:val="000000"/>
                            <w:sz w:val="18"/>
                            <w:szCs w:val="18"/>
                            <w:lang w:val="en-US" w:bidi="en-US"/>
                          </w:rPr>
                          <w:t>987</w:t>
                        </w:r>
                      </w:p>
                    </w:tc>
                  </w:tr>
                  <w:tr w:rsidR="006F0BD3" w:rsidRPr="00551D5A" w14:paraId="15C3A287" w14:textId="77777777" w:rsidTr="00997EF7">
                    <w:tc>
                      <w:tcPr>
                        <w:tcW w:w="4857" w:type="dxa"/>
                        <w:tcBorders>
                          <w:top w:val="single" w:sz="4" w:space="0" w:color="auto"/>
                          <w:left w:val="nil"/>
                          <w:bottom w:val="double" w:sz="4" w:space="0" w:color="auto"/>
                          <w:right w:val="nil"/>
                        </w:tcBorders>
                        <w:shd w:val="clear" w:color="auto" w:fill="auto"/>
                      </w:tcPr>
                      <w:p w14:paraId="0BBFE8A2" w14:textId="77777777" w:rsidR="006F0BD3" w:rsidRPr="00846EEE" w:rsidRDefault="006F0BD3" w:rsidP="006F0BD3">
                        <w:pPr>
                          <w:spacing w:after="0" w:line="240" w:lineRule="auto"/>
                          <w:rPr>
                            <w:rFonts w:asciiTheme="minorHAnsi" w:hAnsiTheme="minorHAnsi" w:cstheme="minorHAnsi"/>
                            <w:b/>
                            <w:bCs/>
                            <w:color w:val="000000"/>
                            <w:sz w:val="18"/>
                            <w:szCs w:val="18"/>
                            <w:lang w:val="en-US" w:bidi="en-US"/>
                          </w:rPr>
                        </w:pPr>
                      </w:p>
                    </w:tc>
                    <w:tc>
                      <w:tcPr>
                        <w:tcW w:w="1537" w:type="dxa"/>
                        <w:tcBorders>
                          <w:top w:val="single" w:sz="4" w:space="0" w:color="auto"/>
                          <w:left w:val="nil"/>
                          <w:bottom w:val="double" w:sz="4" w:space="0" w:color="auto"/>
                          <w:right w:val="nil"/>
                        </w:tcBorders>
                        <w:shd w:val="clear" w:color="auto" w:fill="auto"/>
                      </w:tcPr>
                      <w:p w14:paraId="5C4C5834" w14:textId="4E53DDB7" w:rsidR="006F0BD3" w:rsidRPr="00846EEE" w:rsidRDefault="00671029" w:rsidP="006F0BD3">
                        <w:pPr>
                          <w:pStyle w:val="DecimalAligned"/>
                          <w:spacing w:after="0" w:line="240" w:lineRule="auto"/>
                          <w:jc w:val="right"/>
                          <w:rPr>
                            <w:rFonts w:asciiTheme="minorHAnsi" w:hAnsiTheme="minorHAnsi" w:cstheme="minorHAnsi"/>
                            <w:b/>
                            <w:bCs/>
                            <w:color w:val="000000"/>
                            <w:sz w:val="18"/>
                            <w:szCs w:val="18"/>
                            <w:lang w:bidi="en-US"/>
                          </w:rPr>
                        </w:pPr>
                        <w:r>
                          <w:rPr>
                            <w:rFonts w:asciiTheme="minorHAnsi" w:hAnsiTheme="minorHAnsi" w:cstheme="minorHAnsi"/>
                            <w:b/>
                            <w:bCs/>
                            <w:color w:val="000000"/>
                            <w:sz w:val="18"/>
                            <w:szCs w:val="18"/>
                            <w:lang w:bidi="en-US"/>
                          </w:rPr>
                          <w:t>5</w:t>
                        </w:r>
                        <w:r w:rsidR="00D71434">
                          <w:rPr>
                            <w:rFonts w:asciiTheme="minorHAnsi" w:hAnsiTheme="minorHAnsi" w:cstheme="minorHAnsi"/>
                            <w:b/>
                            <w:bCs/>
                            <w:color w:val="000000"/>
                            <w:sz w:val="18"/>
                            <w:szCs w:val="18"/>
                            <w:lang w:bidi="en-US"/>
                          </w:rPr>
                          <w:t>5,074</w:t>
                        </w:r>
                      </w:p>
                    </w:tc>
                    <w:tc>
                      <w:tcPr>
                        <w:tcW w:w="1537" w:type="dxa"/>
                        <w:tcBorders>
                          <w:top w:val="single" w:sz="4" w:space="0" w:color="auto"/>
                          <w:left w:val="nil"/>
                          <w:bottom w:val="double" w:sz="4" w:space="0" w:color="auto"/>
                          <w:right w:val="nil"/>
                        </w:tcBorders>
                      </w:tcPr>
                      <w:p w14:paraId="77E0BC6C" w14:textId="754553EC" w:rsidR="006F0BD3" w:rsidRPr="00846EEE" w:rsidRDefault="006F0BD3" w:rsidP="006F0BD3">
                        <w:pPr>
                          <w:pStyle w:val="DecimalAligned"/>
                          <w:spacing w:after="0" w:line="240" w:lineRule="auto"/>
                          <w:jc w:val="right"/>
                          <w:rPr>
                            <w:rFonts w:asciiTheme="minorHAnsi" w:hAnsiTheme="minorHAnsi" w:cstheme="minorHAnsi"/>
                            <w:bCs/>
                            <w:color w:val="000000"/>
                            <w:sz w:val="18"/>
                            <w:szCs w:val="18"/>
                            <w:lang w:bidi="en-US"/>
                          </w:rPr>
                        </w:pPr>
                        <w:r w:rsidRPr="00846EEE">
                          <w:rPr>
                            <w:rFonts w:asciiTheme="minorHAnsi" w:hAnsiTheme="minorHAnsi" w:cstheme="minorHAnsi"/>
                            <w:bCs/>
                            <w:color w:val="000000"/>
                            <w:sz w:val="18"/>
                            <w:szCs w:val="18"/>
                            <w:lang w:bidi="en-US"/>
                          </w:rPr>
                          <w:t>61,414</w:t>
                        </w:r>
                      </w:p>
                    </w:tc>
                    <w:tc>
                      <w:tcPr>
                        <w:tcW w:w="1538" w:type="dxa"/>
                        <w:tcBorders>
                          <w:top w:val="single" w:sz="4" w:space="0" w:color="auto"/>
                          <w:left w:val="nil"/>
                          <w:bottom w:val="double" w:sz="4" w:space="0" w:color="auto"/>
                          <w:right w:val="nil"/>
                        </w:tcBorders>
                        <w:shd w:val="clear" w:color="auto" w:fill="auto"/>
                      </w:tcPr>
                      <w:p w14:paraId="03A96CE8" w14:textId="5BAB03BD" w:rsidR="006F0BD3" w:rsidRPr="00846EEE" w:rsidRDefault="007C0C67" w:rsidP="006F0BD3">
                        <w:pPr>
                          <w:pStyle w:val="DecimalAligned"/>
                          <w:spacing w:after="0" w:line="240" w:lineRule="auto"/>
                          <w:jc w:val="right"/>
                          <w:rPr>
                            <w:rFonts w:asciiTheme="minorHAnsi" w:hAnsiTheme="minorHAnsi" w:cstheme="minorHAnsi"/>
                            <w:bCs/>
                            <w:color w:val="000000"/>
                            <w:sz w:val="18"/>
                            <w:szCs w:val="18"/>
                            <w:lang w:bidi="en-US"/>
                          </w:rPr>
                        </w:pPr>
                        <w:r>
                          <w:rPr>
                            <w:rFonts w:asciiTheme="minorHAnsi" w:hAnsiTheme="minorHAnsi" w:cstheme="minorHAnsi"/>
                            <w:bCs/>
                            <w:color w:val="000000"/>
                            <w:sz w:val="18"/>
                            <w:szCs w:val="18"/>
                            <w:lang w:bidi="en-US"/>
                          </w:rPr>
                          <w:t>62,297</w:t>
                        </w:r>
                      </w:p>
                    </w:tc>
                  </w:tr>
                </w:tbl>
                <w:p w14:paraId="0D3EC8E6" w14:textId="77777777" w:rsidR="00482B99" w:rsidRPr="00846EEE" w:rsidRDefault="00482B99" w:rsidP="0047121F">
                  <w:pPr>
                    <w:pStyle w:val="DecimalAligned"/>
                    <w:widowControl w:val="0"/>
                    <w:tabs>
                      <w:tab w:val="clear" w:pos="360"/>
                      <w:tab w:val="left" w:pos="352"/>
                      <w:tab w:val="left" w:pos="464"/>
                    </w:tabs>
                    <w:autoSpaceDE w:val="0"/>
                    <w:autoSpaceDN w:val="0"/>
                    <w:adjustRightInd w:val="0"/>
                    <w:spacing w:after="0" w:line="240" w:lineRule="auto"/>
                    <w:jc w:val="both"/>
                    <w:rPr>
                      <w:rFonts w:asciiTheme="minorHAnsi" w:hAnsiTheme="minorHAnsi" w:cstheme="minorHAnsi"/>
                      <w:b/>
                      <w:color w:val="000000"/>
                      <w:sz w:val="18"/>
                      <w:szCs w:val="18"/>
                      <w:lang w:bidi="en-US"/>
                    </w:rPr>
                  </w:pPr>
                </w:p>
                <w:p w14:paraId="3CADC758" w14:textId="77777777" w:rsidR="00EF14B3" w:rsidRPr="00846EEE" w:rsidRDefault="00F13219" w:rsidP="0047121F">
                  <w:pPr>
                    <w:pStyle w:val="ListParagraph"/>
                    <w:widowControl w:val="0"/>
                    <w:numPr>
                      <w:ilvl w:val="0"/>
                      <w:numId w:val="40"/>
                    </w:numPr>
                    <w:tabs>
                      <w:tab w:val="left" w:pos="352"/>
                      <w:tab w:val="left" w:pos="464"/>
                    </w:tabs>
                    <w:autoSpaceDE w:val="0"/>
                    <w:autoSpaceDN w:val="0"/>
                    <w:adjustRightInd w:val="0"/>
                    <w:spacing w:after="0" w:line="240" w:lineRule="auto"/>
                    <w:jc w:val="both"/>
                    <w:rPr>
                      <w:rFonts w:asciiTheme="minorHAnsi" w:hAnsiTheme="minorHAnsi" w:cstheme="minorHAnsi"/>
                      <w:b/>
                      <w:color w:val="000000"/>
                      <w:sz w:val="18"/>
                      <w:szCs w:val="18"/>
                      <w:lang w:bidi="en-US"/>
                    </w:rPr>
                  </w:pPr>
                  <w:r w:rsidRPr="00846EEE">
                    <w:rPr>
                      <w:rFonts w:asciiTheme="minorHAnsi" w:hAnsiTheme="minorHAnsi" w:cstheme="minorHAnsi"/>
                      <w:b/>
                      <w:sz w:val="18"/>
                      <w:szCs w:val="18"/>
                    </w:rPr>
                    <w:t>Derivative financial instruments</w:t>
                  </w:r>
                </w:p>
                <w:p w14:paraId="71C53FC0" w14:textId="77777777" w:rsidR="00EF14B3" w:rsidRPr="00846EEE" w:rsidRDefault="00EF14B3" w:rsidP="0047121F">
                  <w:pPr>
                    <w:autoSpaceDE w:val="0"/>
                    <w:autoSpaceDN w:val="0"/>
                    <w:adjustRightInd w:val="0"/>
                    <w:spacing w:after="0" w:line="240" w:lineRule="auto"/>
                    <w:jc w:val="both"/>
                    <w:rPr>
                      <w:rFonts w:asciiTheme="minorHAnsi" w:hAnsiTheme="minorHAnsi" w:cstheme="minorHAnsi"/>
                      <w:sz w:val="18"/>
                      <w:szCs w:val="18"/>
                    </w:rPr>
                  </w:pPr>
                  <w:r w:rsidRPr="00846EEE">
                    <w:rPr>
                      <w:rFonts w:asciiTheme="minorHAnsi" w:hAnsiTheme="minorHAnsi" w:cstheme="minorHAnsi"/>
                      <w:sz w:val="18"/>
                      <w:szCs w:val="18"/>
                    </w:rPr>
                    <w:t>The Group held the following</w:t>
                  </w:r>
                  <w:r w:rsidR="00F13219" w:rsidRPr="00846EEE">
                    <w:rPr>
                      <w:rFonts w:asciiTheme="minorHAnsi" w:hAnsiTheme="minorHAnsi" w:cstheme="minorHAnsi"/>
                      <w:sz w:val="18"/>
                      <w:szCs w:val="18"/>
                    </w:rPr>
                    <w:t xml:space="preserve"> derivative financial instruments</w:t>
                  </w:r>
                  <w:r w:rsidRPr="00846EEE">
                    <w:rPr>
                      <w:rFonts w:asciiTheme="minorHAnsi" w:hAnsiTheme="minorHAnsi" w:cstheme="minorHAnsi"/>
                      <w:sz w:val="18"/>
                      <w:szCs w:val="18"/>
                    </w:rPr>
                    <w:t>, classified as fair value through profit and loss</w:t>
                  </w:r>
                  <w:r w:rsidR="00F13219" w:rsidRPr="00846EEE">
                    <w:rPr>
                      <w:rFonts w:asciiTheme="minorHAnsi" w:hAnsiTheme="minorHAnsi" w:cstheme="minorHAnsi"/>
                      <w:sz w:val="18"/>
                      <w:szCs w:val="18"/>
                    </w:rPr>
                    <w:t xml:space="preserve"> on initial recognition</w:t>
                  </w:r>
                  <w:r w:rsidRPr="00846EEE">
                    <w:rPr>
                      <w:rFonts w:asciiTheme="minorHAnsi" w:hAnsiTheme="minorHAnsi" w:cstheme="minorHAnsi"/>
                      <w:sz w:val="18"/>
                      <w:szCs w:val="18"/>
                    </w:rPr>
                    <w:t>:</w:t>
                  </w:r>
                </w:p>
                <w:p w14:paraId="372B9F36" w14:textId="77777777" w:rsidR="006E190D" w:rsidRPr="00846EEE" w:rsidRDefault="006E190D" w:rsidP="0047121F">
                  <w:pPr>
                    <w:autoSpaceDE w:val="0"/>
                    <w:autoSpaceDN w:val="0"/>
                    <w:adjustRightInd w:val="0"/>
                    <w:spacing w:after="0" w:line="240" w:lineRule="auto"/>
                    <w:rPr>
                      <w:rFonts w:asciiTheme="minorHAnsi" w:hAnsiTheme="minorHAnsi" w:cstheme="minorHAnsi"/>
                      <w:sz w:val="18"/>
                      <w:szCs w:val="18"/>
                    </w:rPr>
                  </w:pPr>
                </w:p>
                <w:tbl>
                  <w:tblPr>
                    <w:tblW w:w="9469" w:type="dxa"/>
                    <w:tblBorders>
                      <w:top w:val="single" w:sz="8" w:space="0" w:color="4F81BD"/>
                      <w:bottom w:val="single" w:sz="8" w:space="0" w:color="4F81BD"/>
                    </w:tblBorders>
                    <w:tblLayout w:type="fixed"/>
                    <w:tblLook w:val="0660" w:firstRow="1" w:lastRow="1" w:firstColumn="0" w:lastColumn="0" w:noHBand="1" w:noVBand="1"/>
                  </w:tblPr>
                  <w:tblGrid>
                    <w:gridCol w:w="4857"/>
                    <w:gridCol w:w="1537"/>
                    <w:gridCol w:w="1537"/>
                    <w:gridCol w:w="1538"/>
                  </w:tblGrid>
                  <w:tr w:rsidR="00671029" w:rsidRPr="00551D5A" w14:paraId="55FC924B" w14:textId="77777777" w:rsidTr="00997EF7">
                    <w:trPr>
                      <w:trHeight w:val="422"/>
                    </w:trPr>
                    <w:tc>
                      <w:tcPr>
                        <w:tcW w:w="4857" w:type="dxa"/>
                        <w:tcBorders>
                          <w:top w:val="nil"/>
                          <w:left w:val="nil"/>
                          <w:bottom w:val="nil"/>
                          <w:right w:val="nil"/>
                        </w:tcBorders>
                        <w:shd w:val="clear" w:color="auto" w:fill="auto"/>
                      </w:tcPr>
                      <w:p w14:paraId="4898CD63" w14:textId="77777777" w:rsidR="00671029" w:rsidRPr="00846EEE" w:rsidRDefault="00671029" w:rsidP="00671029">
                        <w:pPr>
                          <w:spacing w:after="0" w:line="240" w:lineRule="auto"/>
                          <w:rPr>
                            <w:rFonts w:asciiTheme="minorHAnsi" w:hAnsiTheme="minorHAnsi" w:cstheme="minorHAnsi"/>
                            <w:b/>
                            <w:bCs/>
                            <w:color w:val="000000"/>
                            <w:sz w:val="18"/>
                            <w:szCs w:val="18"/>
                            <w:lang w:val="en-US" w:bidi="en-US"/>
                          </w:rPr>
                        </w:pPr>
                      </w:p>
                      <w:p w14:paraId="78A7D7E5" w14:textId="77777777" w:rsidR="00671029" w:rsidRPr="00846EEE" w:rsidRDefault="00671029" w:rsidP="00671029">
                        <w:pPr>
                          <w:spacing w:after="0" w:line="240" w:lineRule="auto"/>
                          <w:rPr>
                            <w:rFonts w:asciiTheme="minorHAnsi" w:hAnsiTheme="minorHAnsi" w:cstheme="minorHAnsi"/>
                            <w:b/>
                            <w:bCs/>
                            <w:color w:val="000000"/>
                            <w:sz w:val="18"/>
                            <w:szCs w:val="18"/>
                            <w:highlight w:val="yellow"/>
                            <w:lang w:val="en-US" w:bidi="en-US"/>
                          </w:rPr>
                        </w:pPr>
                      </w:p>
                    </w:tc>
                    <w:tc>
                      <w:tcPr>
                        <w:tcW w:w="1537" w:type="dxa"/>
                        <w:tcBorders>
                          <w:top w:val="nil"/>
                          <w:left w:val="nil"/>
                          <w:bottom w:val="nil"/>
                          <w:right w:val="nil"/>
                        </w:tcBorders>
                        <w:shd w:val="clear" w:color="auto" w:fill="auto"/>
                        <w:vAlign w:val="bottom"/>
                      </w:tcPr>
                      <w:p w14:paraId="070336A5" w14:textId="1BF46609" w:rsidR="00671029" w:rsidRPr="00846EEE" w:rsidRDefault="00671029" w:rsidP="00671029">
                        <w:pPr>
                          <w:spacing w:after="0" w:line="240" w:lineRule="auto"/>
                          <w:jc w:val="right"/>
                          <w:rPr>
                            <w:rFonts w:asciiTheme="minorHAnsi" w:hAnsiTheme="minorHAnsi" w:cstheme="minorHAnsi"/>
                            <w:b/>
                            <w:bCs/>
                            <w:color w:val="000000"/>
                            <w:sz w:val="18"/>
                            <w:szCs w:val="18"/>
                            <w:highlight w:val="yellow"/>
                            <w:lang w:val="en-US" w:bidi="en-US"/>
                          </w:rPr>
                        </w:pPr>
                        <w:r w:rsidRPr="00846EEE">
                          <w:rPr>
                            <w:rFonts w:asciiTheme="minorHAnsi" w:hAnsiTheme="minorHAnsi" w:cstheme="minorHAnsi"/>
                            <w:b/>
                            <w:bCs/>
                            <w:color w:val="000000"/>
                            <w:sz w:val="18"/>
                            <w:szCs w:val="18"/>
                            <w:lang w:bidi="en-US"/>
                          </w:rPr>
                          <w:t>As at</w:t>
                        </w:r>
                        <w:r w:rsidRPr="00846EEE">
                          <w:rPr>
                            <w:rFonts w:asciiTheme="minorHAnsi" w:hAnsiTheme="minorHAnsi" w:cstheme="minorHAnsi"/>
                            <w:b/>
                            <w:bCs/>
                            <w:color w:val="000000"/>
                            <w:sz w:val="18"/>
                            <w:szCs w:val="18"/>
                            <w:lang w:bidi="en-US"/>
                          </w:rPr>
                          <w:br/>
                          <w:t>31 Jan</w:t>
                        </w:r>
                        <w:r>
                          <w:rPr>
                            <w:rFonts w:asciiTheme="minorHAnsi" w:hAnsiTheme="minorHAnsi" w:cstheme="minorHAnsi"/>
                            <w:b/>
                            <w:bCs/>
                            <w:color w:val="000000"/>
                            <w:sz w:val="18"/>
                            <w:szCs w:val="18"/>
                            <w:lang w:bidi="en-US"/>
                          </w:rPr>
                          <w:t>uary</w:t>
                        </w:r>
                        <w:r w:rsidRPr="00846EEE">
                          <w:rPr>
                            <w:rFonts w:asciiTheme="minorHAnsi" w:hAnsiTheme="minorHAnsi" w:cstheme="minorHAnsi"/>
                            <w:b/>
                            <w:bCs/>
                            <w:color w:val="000000"/>
                            <w:sz w:val="18"/>
                            <w:szCs w:val="18"/>
                            <w:lang w:bidi="en-US"/>
                          </w:rPr>
                          <w:t xml:space="preserve"> 2023</w:t>
                        </w:r>
                      </w:p>
                    </w:tc>
                    <w:tc>
                      <w:tcPr>
                        <w:tcW w:w="1537" w:type="dxa"/>
                        <w:tcBorders>
                          <w:top w:val="nil"/>
                          <w:left w:val="nil"/>
                          <w:bottom w:val="nil"/>
                          <w:right w:val="nil"/>
                        </w:tcBorders>
                        <w:vAlign w:val="bottom"/>
                      </w:tcPr>
                      <w:p w14:paraId="483D728C" w14:textId="01EF442A" w:rsidR="00671029" w:rsidRPr="00846EEE" w:rsidRDefault="00671029" w:rsidP="00671029">
                        <w:pPr>
                          <w:pStyle w:val="DecimalAligned"/>
                          <w:widowControl w:val="0"/>
                          <w:tabs>
                            <w:tab w:val="clear" w:pos="360"/>
                            <w:tab w:val="left" w:pos="352"/>
                            <w:tab w:val="left" w:pos="464"/>
                          </w:tabs>
                          <w:autoSpaceDE w:val="0"/>
                          <w:autoSpaceDN w:val="0"/>
                          <w:adjustRightInd w:val="0"/>
                          <w:spacing w:after="0" w:line="240" w:lineRule="auto"/>
                          <w:jc w:val="right"/>
                          <w:rPr>
                            <w:rFonts w:asciiTheme="minorHAnsi" w:hAnsiTheme="minorHAnsi" w:cstheme="minorHAnsi"/>
                            <w:bCs/>
                            <w:color w:val="000000"/>
                            <w:sz w:val="18"/>
                            <w:szCs w:val="18"/>
                          </w:rPr>
                        </w:pPr>
                        <w:r w:rsidRPr="00846EEE">
                          <w:rPr>
                            <w:rFonts w:asciiTheme="minorHAnsi" w:hAnsiTheme="minorHAnsi" w:cstheme="minorHAnsi"/>
                            <w:bCs/>
                            <w:color w:val="000000"/>
                            <w:sz w:val="18"/>
                            <w:szCs w:val="18"/>
                            <w:lang w:bidi="en-US"/>
                          </w:rPr>
                          <w:t>As at</w:t>
                        </w:r>
                        <w:r w:rsidRPr="00846EEE">
                          <w:rPr>
                            <w:rFonts w:asciiTheme="minorHAnsi" w:hAnsiTheme="minorHAnsi" w:cstheme="minorHAnsi"/>
                            <w:bCs/>
                            <w:color w:val="000000"/>
                            <w:sz w:val="18"/>
                            <w:szCs w:val="18"/>
                            <w:lang w:bidi="en-US"/>
                          </w:rPr>
                          <w:br/>
                          <w:t>31 Jan</w:t>
                        </w:r>
                        <w:r>
                          <w:rPr>
                            <w:rFonts w:asciiTheme="minorHAnsi" w:hAnsiTheme="minorHAnsi" w:cstheme="minorHAnsi"/>
                            <w:bCs/>
                            <w:color w:val="000000"/>
                            <w:sz w:val="18"/>
                            <w:szCs w:val="18"/>
                            <w:lang w:bidi="en-US"/>
                          </w:rPr>
                          <w:t>uary</w:t>
                        </w:r>
                        <w:r w:rsidRPr="00846EEE">
                          <w:rPr>
                            <w:rFonts w:asciiTheme="minorHAnsi" w:hAnsiTheme="minorHAnsi" w:cstheme="minorHAnsi"/>
                            <w:bCs/>
                            <w:color w:val="000000"/>
                            <w:sz w:val="18"/>
                            <w:szCs w:val="18"/>
                            <w:lang w:bidi="en-US"/>
                          </w:rPr>
                          <w:t xml:space="preserve"> 2022</w:t>
                        </w:r>
                      </w:p>
                    </w:tc>
                    <w:tc>
                      <w:tcPr>
                        <w:tcW w:w="1538" w:type="dxa"/>
                        <w:tcBorders>
                          <w:top w:val="nil"/>
                          <w:left w:val="nil"/>
                          <w:bottom w:val="nil"/>
                          <w:right w:val="nil"/>
                        </w:tcBorders>
                        <w:shd w:val="clear" w:color="auto" w:fill="auto"/>
                        <w:vAlign w:val="bottom"/>
                      </w:tcPr>
                      <w:p w14:paraId="2D4926FF" w14:textId="77777777" w:rsidR="00671029" w:rsidRPr="00846EEE" w:rsidRDefault="00671029" w:rsidP="00671029">
                        <w:pPr>
                          <w:spacing w:after="0" w:line="240" w:lineRule="auto"/>
                          <w:jc w:val="right"/>
                          <w:rPr>
                            <w:rFonts w:asciiTheme="minorHAnsi" w:hAnsiTheme="minorHAnsi" w:cstheme="minorHAnsi"/>
                            <w:bCs/>
                            <w:color w:val="000000"/>
                            <w:sz w:val="18"/>
                            <w:szCs w:val="18"/>
                            <w:lang w:val="en-US" w:bidi="en-US"/>
                          </w:rPr>
                        </w:pPr>
                        <w:r w:rsidRPr="00846EEE">
                          <w:rPr>
                            <w:rFonts w:asciiTheme="minorHAnsi" w:hAnsiTheme="minorHAnsi" w:cstheme="minorHAnsi"/>
                            <w:bCs/>
                            <w:color w:val="000000"/>
                            <w:sz w:val="18"/>
                            <w:szCs w:val="18"/>
                            <w:lang w:val="en-US" w:bidi="en-US"/>
                          </w:rPr>
                          <w:t xml:space="preserve">As at </w:t>
                        </w:r>
                      </w:p>
                      <w:p w14:paraId="7893B7BC" w14:textId="7AD027A4" w:rsidR="00671029" w:rsidRPr="00846EEE" w:rsidRDefault="00671029" w:rsidP="00671029">
                        <w:pPr>
                          <w:spacing w:after="0" w:line="240" w:lineRule="auto"/>
                          <w:jc w:val="right"/>
                          <w:rPr>
                            <w:rFonts w:asciiTheme="minorHAnsi" w:hAnsiTheme="minorHAnsi" w:cstheme="minorHAnsi"/>
                            <w:bCs/>
                            <w:color w:val="000000"/>
                            <w:sz w:val="18"/>
                            <w:szCs w:val="18"/>
                            <w:highlight w:val="yellow"/>
                            <w:lang w:val="en-US" w:bidi="en-US"/>
                          </w:rPr>
                        </w:pPr>
                        <w:r w:rsidRPr="00846EEE">
                          <w:rPr>
                            <w:rFonts w:asciiTheme="minorHAnsi" w:hAnsiTheme="minorHAnsi" w:cstheme="minorHAnsi"/>
                            <w:bCs/>
                            <w:color w:val="000000"/>
                            <w:sz w:val="18"/>
                            <w:szCs w:val="18"/>
                            <w:lang w:bidi="en-US"/>
                          </w:rPr>
                          <w:t>31 Jul</w:t>
                        </w:r>
                        <w:r>
                          <w:rPr>
                            <w:rFonts w:asciiTheme="minorHAnsi" w:hAnsiTheme="minorHAnsi" w:cstheme="minorHAnsi"/>
                            <w:bCs/>
                            <w:color w:val="000000"/>
                            <w:sz w:val="18"/>
                            <w:szCs w:val="18"/>
                            <w:lang w:bidi="en-US"/>
                          </w:rPr>
                          <w:t>y</w:t>
                        </w:r>
                        <w:r w:rsidRPr="00846EEE">
                          <w:rPr>
                            <w:rFonts w:asciiTheme="minorHAnsi" w:hAnsiTheme="minorHAnsi" w:cstheme="minorHAnsi"/>
                            <w:bCs/>
                            <w:color w:val="000000"/>
                            <w:sz w:val="18"/>
                            <w:szCs w:val="18"/>
                            <w:lang w:bidi="en-US"/>
                          </w:rPr>
                          <w:t xml:space="preserve"> 2022</w:t>
                        </w:r>
                      </w:p>
                    </w:tc>
                  </w:tr>
                  <w:tr w:rsidR="00671029" w:rsidRPr="00551D5A" w14:paraId="3CF57C0E" w14:textId="77777777" w:rsidTr="00997EF7">
                    <w:trPr>
                      <w:trHeight w:val="223"/>
                    </w:trPr>
                    <w:tc>
                      <w:tcPr>
                        <w:tcW w:w="4857" w:type="dxa"/>
                        <w:tcBorders>
                          <w:top w:val="nil"/>
                          <w:left w:val="nil"/>
                          <w:bottom w:val="single" w:sz="4" w:space="0" w:color="auto"/>
                          <w:right w:val="nil"/>
                        </w:tcBorders>
                        <w:shd w:val="clear" w:color="auto" w:fill="auto"/>
                      </w:tcPr>
                      <w:p w14:paraId="258D0BA9" w14:textId="77777777" w:rsidR="00671029" w:rsidRPr="00846EEE" w:rsidRDefault="00671029" w:rsidP="00671029">
                        <w:pPr>
                          <w:spacing w:after="0" w:line="240" w:lineRule="auto"/>
                          <w:rPr>
                            <w:rFonts w:asciiTheme="minorHAnsi" w:hAnsiTheme="minorHAnsi" w:cstheme="minorHAnsi"/>
                            <w:b/>
                            <w:bCs/>
                            <w:color w:val="000000"/>
                            <w:sz w:val="18"/>
                            <w:szCs w:val="18"/>
                            <w:highlight w:val="yellow"/>
                            <w:lang w:val="en-US" w:bidi="en-US"/>
                          </w:rPr>
                        </w:pPr>
                      </w:p>
                    </w:tc>
                    <w:tc>
                      <w:tcPr>
                        <w:tcW w:w="1537" w:type="dxa"/>
                        <w:tcBorders>
                          <w:top w:val="nil"/>
                          <w:left w:val="nil"/>
                          <w:bottom w:val="single" w:sz="4" w:space="0" w:color="auto"/>
                          <w:right w:val="nil"/>
                        </w:tcBorders>
                        <w:shd w:val="clear" w:color="auto" w:fill="auto"/>
                        <w:vAlign w:val="center"/>
                      </w:tcPr>
                      <w:p w14:paraId="2F052198" w14:textId="764A30E0" w:rsidR="00671029" w:rsidRPr="00846EEE" w:rsidRDefault="00671029" w:rsidP="00671029">
                        <w:pPr>
                          <w:pStyle w:val="DecimalAligned"/>
                          <w:widowControl w:val="0"/>
                          <w:tabs>
                            <w:tab w:val="clear" w:pos="360"/>
                            <w:tab w:val="left" w:pos="352"/>
                            <w:tab w:val="left" w:pos="464"/>
                          </w:tabs>
                          <w:autoSpaceDE w:val="0"/>
                          <w:autoSpaceDN w:val="0"/>
                          <w:adjustRightInd w:val="0"/>
                          <w:spacing w:after="0" w:line="240" w:lineRule="auto"/>
                          <w:jc w:val="right"/>
                          <w:rPr>
                            <w:rFonts w:asciiTheme="minorHAnsi" w:hAnsiTheme="minorHAnsi" w:cstheme="minorHAnsi"/>
                            <w:b/>
                            <w:bCs/>
                            <w:color w:val="000000"/>
                            <w:sz w:val="18"/>
                            <w:szCs w:val="18"/>
                          </w:rPr>
                        </w:pPr>
                        <w:r w:rsidRPr="00846EEE">
                          <w:rPr>
                            <w:rFonts w:asciiTheme="minorHAnsi" w:hAnsiTheme="minorHAnsi" w:cstheme="minorHAnsi"/>
                            <w:b/>
                            <w:bCs/>
                            <w:sz w:val="18"/>
                            <w:szCs w:val="18"/>
                          </w:rPr>
                          <w:t>£’000</w:t>
                        </w:r>
                      </w:p>
                    </w:tc>
                    <w:tc>
                      <w:tcPr>
                        <w:tcW w:w="1537" w:type="dxa"/>
                        <w:tcBorders>
                          <w:top w:val="nil"/>
                          <w:left w:val="nil"/>
                          <w:bottom w:val="single" w:sz="4" w:space="0" w:color="auto"/>
                          <w:right w:val="nil"/>
                        </w:tcBorders>
                        <w:vAlign w:val="center"/>
                      </w:tcPr>
                      <w:p w14:paraId="72E69DD5" w14:textId="1741F1FF" w:rsidR="00671029" w:rsidRPr="00846EEE" w:rsidRDefault="00671029" w:rsidP="00671029">
                        <w:pPr>
                          <w:pStyle w:val="DecimalAligned"/>
                          <w:widowControl w:val="0"/>
                          <w:tabs>
                            <w:tab w:val="clear" w:pos="360"/>
                            <w:tab w:val="left" w:pos="352"/>
                            <w:tab w:val="left" w:pos="464"/>
                          </w:tabs>
                          <w:autoSpaceDE w:val="0"/>
                          <w:autoSpaceDN w:val="0"/>
                          <w:adjustRightInd w:val="0"/>
                          <w:spacing w:after="0" w:line="240" w:lineRule="auto"/>
                          <w:jc w:val="right"/>
                          <w:rPr>
                            <w:rFonts w:asciiTheme="minorHAnsi" w:hAnsiTheme="minorHAnsi" w:cstheme="minorHAnsi"/>
                            <w:bCs/>
                            <w:color w:val="000000"/>
                            <w:sz w:val="18"/>
                            <w:szCs w:val="18"/>
                          </w:rPr>
                        </w:pPr>
                        <w:r w:rsidRPr="00002756">
                          <w:rPr>
                            <w:rFonts w:asciiTheme="minorHAnsi" w:hAnsiTheme="minorHAnsi" w:cstheme="minorHAnsi"/>
                            <w:sz w:val="18"/>
                            <w:szCs w:val="18"/>
                          </w:rPr>
                          <w:t>£’000</w:t>
                        </w:r>
                      </w:p>
                    </w:tc>
                    <w:tc>
                      <w:tcPr>
                        <w:tcW w:w="1538" w:type="dxa"/>
                        <w:tcBorders>
                          <w:top w:val="nil"/>
                          <w:left w:val="nil"/>
                          <w:bottom w:val="single" w:sz="4" w:space="0" w:color="auto"/>
                          <w:right w:val="nil"/>
                        </w:tcBorders>
                        <w:shd w:val="clear" w:color="auto" w:fill="auto"/>
                        <w:vAlign w:val="center"/>
                      </w:tcPr>
                      <w:p w14:paraId="1441D783" w14:textId="57ED7769" w:rsidR="00671029" w:rsidRPr="00846EEE" w:rsidRDefault="00671029" w:rsidP="00671029">
                        <w:pPr>
                          <w:pStyle w:val="DecimalAligned"/>
                          <w:widowControl w:val="0"/>
                          <w:tabs>
                            <w:tab w:val="clear" w:pos="360"/>
                            <w:tab w:val="left" w:pos="352"/>
                            <w:tab w:val="left" w:pos="464"/>
                          </w:tabs>
                          <w:autoSpaceDE w:val="0"/>
                          <w:autoSpaceDN w:val="0"/>
                          <w:adjustRightInd w:val="0"/>
                          <w:spacing w:after="0" w:line="240" w:lineRule="auto"/>
                          <w:jc w:val="right"/>
                          <w:rPr>
                            <w:rFonts w:asciiTheme="minorHAnsi" w:hAnsiTheme="minorHAnsi" w:cstheme="minorHAnsi"/>
                            <w:color w:val="000000"/>
                            <w:sz w:val="18"/>
                            <w:szCs w:val="18"/>
                          </w:rPr>
                        </w:pPr>
                        <w:r w:rsidRPr="00002756">
                          <w:rPr>
                            <w:rFonts w:asciiTheme="minorHAnsi" w:hAnsiTheme="minorHAnsi" w:cstheme="minorHAnsi"/>
                            <w:sz w:val="18"/>
                            <w:szCs w:val="18"/>
                          </w:rPr>
                          <w:t>£’000</w:t>
                        </w:r>
                      </w:p>
                    </w:tc>
                  </w:tr>
                  <w:tr w:rsidR="006F0BD3" w:rsidRPr="00551D5A" w14:paraId="0A19536E" w14:textId="77777777" w:rsidTr="00997EF7">
                    <w:trPr>
                      <w:trHeight w:val="521"/>
                    </w:trPr>
                    <w:tc>
                      <w:tcPr>
                        <w:tcW w:w="4857" w:type="dxa"/>
                        <w:tcBorders>
                          <w:top w:val="single" w:sz="4" w:space="0" w:color="auto"/>
                        </w:tcBorders>
                        <w:shd w:val="clear" w:color="auto" w:fill="auto"/>
                      </w:tcPr>
                      <w:p w14:paraId="55852FC5" w14:textId="77777777" w:rsidR="006F0BD3" w:rsidRPr="00846EEE" w:rsidRDefault="006F0BD3" w:rsidP="006F0BD3">
                        <w:pPr>
                          <w:spacing w:after="0" w:line="240" w:lineRule="auto"/>
                          <w:rPr>
                            <w:rFonts w:asciiTheme="minorHAnsi" w:hAnsiTheme="minorHAnsi" w:cstheme="minorHAnsi"/>
                            <w:color w:val="000000"/>
                            <w:sz w:val="18"/>
                            <w:szCs w:val="18"/>
                            <w:lang w:val="en-US" w:bidi="en-US"/>
                          </w:rPr>
                        </w:pPr>
                        <w:r w:rsidRPr="00846EEE">
                          <w:rPr>
                            <w:rFonts w:asciiTheme="minorHAnsi" w:hAnsiTheme="minorHAnsi" w:cstheme="minorHAnsi"/>
                            <w:color w:val="000000"/>
                            <w:sz w:val="18"/>
                            <w:szCs w:val="18"/>
                            <w:lang w:val="en-US" w:bidi="en-US"/>
                          </w:rPr>
                          <w:t>Forward currency contracts</w:t>
                        </w:r>
                      </w:p>
                      <w:p w14:paraId="71868150" w14:textId="77777777" w:rsidR="006F0BD3" w:rsidRPr="00846EEE" w:rsidRDefault="006F0BD3" w:rsidP="006F0BD3">
                        <w:pPr>
                          <w:spacing w:after="0" w:line="240" w:lineRule="auto"/>
                          <w:rPr>
                            <w:rFonts w:asciiTheme="minorHAnsi" w:hAnsiTheme="minorHAnsi" w:cstheme="minorHAnsi"/>
                            <w:color w:val="000000"/>
                            <w:sz w:val="18"/>
                            <w:szCs w:val="18"/>
                            <w:lang w:val="en-US" w:bidi="en-US"/>
                          </w:rPr>
                        </w:pPr>
                        <w:r w:rsidRPr="00846EEE">
                          <w:rPr>
                            <w:rFonts w:asciiTheme="minorHAnsi" w:hAnsiTheme="minorHAnsi" w:cstheme="minorHAnsi"/>
                            <w:color w:val="000000"/>
                            <w:sz w:val="18"/>
                            <w:szCs w:val="18"/>
                            <w:lang w:val="en-US" w:bidi="en-US"/>
                          </w:rPr>
                          <w:t>Interest rate swaps</w:t>
                        </w:r>
                      </w:p>
                      <w:p w14:paraId="501BD7B7" w14:textId="77777777" w:rsidR="006F0BD3" w:rsidRPr="00846EEE" w:rsidRDefault="006F0BD3" w:rsidP="006F0BD3">
                        <w:pPr>
                          <w:spacing w:after="0" w:line="240" w:lineRule="auto"/>
                          <w:rPr>
                            <w:rFonts w:asciiTheme="minorHAnsi" w:hAnsiTheme="minorHAnsi" w:cstheme="minorHAnsi"/>
                            <w:color w:val="000000"/>
                            <w:sz w:val="18"/>
                            <w:szCs w:val="18"/>
                            <w:lang w:val="en-US" w:bidi="en-US"/>
                          </w:rPr>
                        </w:pPr>
                        <w:r w:rsidRPr="00846EEE">
                          <w:rPr>
                            <w:rFonts w:asciiTheme="minorHAnsi" w:hAnsiTheme="minorHAnsi" w:cstheme="minorHAnsi"/>
                            <w:color w:val="000000"/>
                            <w:sz w:val="18"/>
                            <w:szCs w:val="18"/>
                            <w:lang w:val="en-US" w:bidi="en-US"/>
                          </w:rPr>
                          <w:t>Interest rate caps</w:t>
                        </w:r>
                      </w:p>
                    </w:tc>
                    <w:tc>
                      <w:tcPr>
                        <w:tcW w:w="1537" w:type="dxa"/>
                        <w:tcBorders>
                          <w:top w:val="single" w:sz="4" w:space="0" w:color="auto"/>
                        </w:tcBorders>
                        <w:shd w:val="clear" w:color="auto" w:fill="auto"/>
                      </w:tcPr>
                      <w:p w14:paraId="28E9ED56" w14:textId="5C2AD6F5" w:rsidR="006F0BD3" w:rsidRDefault="00327C65" w:rsidP="006F0BD3">
                        <w:pPr>
                          <w:spacing w:after="0" w:line="240" w:lineRule="auto"/>
                          <w:jc w:val="right"/>
                          <w:rPr>
                            <w:rStyle w:val="SubtleEmphasis"/>
                            <w:rFonts w:asciiTheme="minorHAnsi" w:hAnsiTheme="minorHAnsi" w:cstheme="minorHAnsi"/>
                            <w:b/>
                            <w:i w:val="0"/>
                            <w:color w:val="000000"/>
                            <w:sz w:val="18"/>
                            <w:szCs w:val="18"/>
                            <w:lang w:bidi="en-US"/>
                          </w:rPr>
                        </w:pPr>
                        <w:r>
                          <w:rPr>
                            <w:rStyle w:val="SubtleEmphasis"/>
                            <w:rFonts w:asciiTheme="minorHAnsi" w:hAnsiTheme="minorHAnsi" w:cstheme="minorHAnsi"/>
                            <w:b/>
                            <w:i w:val="0"/>
                            <w:color w:val="000000"/>
                            <w:sz w:val="18"/>
                            <w:szCs w:val="18"/>
                            <w:lang w:bidi="en-US"/>
                          </w:rPr>
                          <w:t>(6</w:t>
                        </w:r>
                        <w:r w:rsidR="008431B9">
                          <w:rPr>
                            <w:rStyle w:val="SubtleEmphasis"/>
                            <w:rFonts w:asciiTheme="minorHAnsi" w:hAnsiTheme="minorHAnsi" w:cstheme="minorHAnsi"/>
                            <w:b/>
                            <w:i w:val="0"/>
                            <w:color w:val="000000"/>
                            <w:sz w:val="18"/>
                            <w:szCs w:val="18"/>
                            <w:lang w:bidi="en-US"/>
                          </w:rPr>
                          <w:t>0</w:t>
                        </w:r>
                        <w:r>
                          <w:rPr>
                            <w:rStyle w:val="SubtleEmphasis"/>
                            <w:rFonts w:asciiTheme="minorHAnsi" w:hAnsiTheme="minorHAnsi" w:cstheme="minorHAnsi"/>
                            <w:b/>
                            <w:i w:val="0"/>
                            <w:color w:val="000000"/>
                            <w:sz w:val="18"/>
                            <w:szCs w:val="18"/>
                            <w:lang w:bidi="en-US"/>
                          </w:rPr>
                          <w:t>5)</w:t>
                        </w:r>
                      </w:p>
                      <w:p w14:paraId="5EBC932E" w14:textId="77777777" w:rsidR="00327C65" w:rsidRDefault="00327C65" w:rsidP="006F0BD3">
                        <w:pPr>
                          <w:spacing w:after="0" w:line="240" w:lineRule="auto"/>
                          <w:jc w:val="right"/>
                          <w:rPr>
                            <w:rStyle w:val="SubtleEmphasis"/>
                            <w:rFonts w:asciiTheme="minorHAnsi" w:hAnsiTheme="minorHAnsi" w:cstheme="minorHAnsi"/>
                            <w:b/>
                            <w:i w:val="0"/>
                            <w:color w:val="000000"/>
                            <w:sz w:val="18"/>
                            <w:szCs w:val="18"/>
                            <w:lang w:bidi="en-US"/>
                          </w:rPr>
                        </w:pPr>
                        <w:r>
                          <w:rPr>
                            <w:rStyle w:val="SubtleEmphasis"/>
                            <w:rFonts w:asciiTheme="minorHAnsi" w:hAnsiTheme="minorHAnsi" w:cstheme="minorHAnsi"/>
                            <w:b/>
                            <w:i w:val="0"/>
                            <w:color w:val="000000"/>
                            <w:sz w:val="18"/>
                            <w:szCs w:val="18"/>
                            <w:lang w:bidi="en-US"/>
                          </w:rPr>
                          <w:t>323</w:t>
                        </w:r>
                      </w:p>
                      <w:p w14:paraId="3D6D61ED" w14:textId="43045E08" w:rsidR="00327C65" w:rsidRPr="00846EEE" w:rsidRDefault="00327C65" w:rsidP="006F0BD3">
                        <w:pPr>
                          <w:spacing w:after="0" w:line="240" w:lineRule="auto"/>
                          <w:jc w:val="right"/>
                          <w:rPr>
                            <w:rStyle w:val="SubtleEmphasis"/>
                            <w:rFonts w:asciiTheme="minorHAnsi" w:hAnsiTheme="minorHAnsi" w:cstheme="minorHAnsi"/>
                            <w:b/>
                            <w:i w:val="0"/>
                            <w:color w:val="000000"/>
                            <w:sz w:val="18"/>
                            <w:szCs w:val="18"/>
                            <w:lang w:bidi="en-US"/>
                          </w:rPr>
                        </w:pPr>
                        <w:r>
                          <w:rPr>
                            <w:rStyle w:val="SubtleEmphasis"/>
                            <w:rFonts w:asciiTheme="minorHAnsi" w:hAnsiTheme="minorHAnsi" w:cstheme="minorHAnsi"/>
                            <w:b/>
                            <w:i w:val="0"/>
                            <w:color w:val="000000"/>
                            <w:sz w:val="18"/>
                            <w:szCs w:val="18"/>
                            <w:lang w:bidi="en-US"/>
                          </w:rPr>
                          <w:t>522</w:t>
                        </w:r>
                      </w:p>
                    </w:tc>
                    <w:tc>
                      <w:tcPr>
                        <w:tcW w:w="1537" w:type="dxa"/>
                        <w:tcBorders>
                          <w:top w:val="single" w:sz="4" w:space="0" w:color="auto"/>
                        </w:tcBorders>
                      </w:tcPr>
                      <w:p w14:paraId="448CA69A" w14:textId="77777777" w:rsidR="006F0BD3" w:rsidRPr="00846EEE" w:rsidRDefault="006F0BD3" w:rsidP="006F0BD3">
                        <w:pPr>
                          <w:spacing w:after="0" w:line="240" w:lineRule="auto"/>
                          <w:jc w:val="right"/>
                          <w:rPr>
                            <w:rStyle w:val="SubtleEmphasis"/>
                            <w:rFonts w:asciiTheme="minorHAnsi" w:hAnsiTheme="minorHAnsi" w:cstheme="minorHAnsi"/>
                            <w:bCs/>
                            <w:i w:val="0"/>
                            <w:color w:val="000000"/>
                            <w:sz w:val="18"/>
                            <w:szCs w:val="18"/>
                            <w:lang w:bidi="en-US"/>
                          </w:rPr>
                        </w:pPr>
                        <w:r w:rsidRPr="00846EEE">
                          <w:rPr>
                            <w:rStyle w:val="SubtleEmphasis"/>
                            <w:rFonts w:asciiTheme="minorHAnsi" w:hAnsiTheme="minorHAnsi" w:cstheme="minorHAnsi"/>
                            <w:bCs/>
                            <w:i w:val="0"/>
                            <w:color w:val="000000"/>
                            <w:sz w:val="18"/>
                            <w:szCs w:val="18"/>
                            <w:lang w:bidi="en-US"/>
                          </w:rPr>
                          <w:t>1,024</w:t>
                        </w:r>
                      </w:p>
                      <w:p w14:paraId="62E037E3" w14:textId="77777777" w:rsidR="006F0BD3" w:rsidRPr="00846EEE" w:rsidRDefault="006F0BD3" w:rsidP="006F0BD3">
                        <w:pPr>
                          <w:spacing w:after="0" w:line="240" w:lineRule="auto"/>
                          <w:jc w:val="right"/>
                          <w:rPr>
                            <w:rStyle w:val="SubtleEmphasis"/>
                            <w:rFonts w:asciiTheme="minorHAnsi" w:hAnsiTheme="minorHAnsi" w:cstheme="minorHAnsi"/>
                            <w:bCs/>
                            <w:i w:val="0"/>
                            <w:color w:val="000000"/>
                            <w:sz w:val="18"/>
                            <w:szCs w:val="18"/>
                            <w:lang w:bidi="en-US"/>
                          </w:rPr>
                        </w:pPr>
                        <w:r w:rsidRPr="00846EEE">
                          <w:rPr>
                            <w:rStyle w:val="SubtleEmphasis"/>
                            <w:rFonts w:asciiTheme="minorHAnsi" w:hAnsiTheme="minorHAnsi" w:cstheme="minorHAnsi"/>
                            <w:bCs/>
                            <w:i w:val="0"/>
                            <w:color w:val="000000"/>
                            <w:sz w:val="18"/>
                            <w:szCs w:val="18"/>
                            <w:lang w:bidi="en-US"/>
                          </w:rPr>
                          <w:t>155</w:t>
                        </w:r>
                      </w:p>
                      <w:p w14:paraId="24DB568B" w14:textId="3C7E3656" w:rsidR="006F0BD3" w:rsidRPr="00846EEE" w:rsidRDefault="006F0BD3" w:rsidP="006F0BD3">
                        <w:pPr>
                          <w:spacing w:after="0" w:line="240" w:lineRule="auto"/>
                          <w:jc w:val="right"/>
                          <w:rPr>
                            <w:rStyle w:val="SubtleEmphasis"/>
                            <w:rFonts w:asciiTheme="minorHAnsi" w:hAnsiTheme="minorHAnsi" w:cstheme="minorHAnsi"/>
                            <w:bCs/>
                            <w:i w:val="0"/>
                            <w:color w:val="000000"/>
                            <w:sz w:val="18"/>
                            <w:szCs w:val="18"/>
                            <w:lang w:bidi="en-US"/>
                          </w:rPr>
                        </w:pPr>
                        <w:r w:rsidRPr="00846EEE">
                          <w:rPr>
                            <w:rStyle w:val="SubtleEmphasis"/>
                            <w:rFonts w:asciiTheme="minorHAnsi" w:hAnsiTheme="minorHAnsi" w:cstheme="minorHAnsi"/>
                            <w:bCs/>
                            <w:i w:val="0"/>
                            <w:color w:val="000000"/>
                            <w:sz w:val="18"/>
                            <w:szCs w:val="18"/>
                            <w:lang w:bidi="en-US"/>
                          </w:rPr>
                          <w:t>148</w:t>
                        </w:r>
                      </w:p>
                    </w:tc>
                    <w:tc>
                      <w:tcPr>
                        <w:tcW w:w="1538" w:type="dxa"/>
                        <w:tcBorders>
                          <w:top w:val="single" w:sz="4" w:space="0" w:color="auto"/>
                        </w:tcBorders>
                        <w:shd w:val="clear" w:color="auto" w:fill="auto"/>
                      </w:tcPr>
                      <w:p w14:paraId="10E02E99" w14:textId="77777777" w:rsidR="006F0BD3" w:rsidRDefault="007C0C67" w:rsidP="006F0BD3">
                        <w:pPr>
                          <w:spacing w:after="0" w:line="240" w:lineRule="auto"/>
                          <w:jc w:val="right"/>
                          <w:rPr>
                            <w:rFonts w:asciiTheme="minorHAnsi" w:hAnsiTheme="minorHAnsi" w:cstheme="minorHAnsi"/>
                            <w:color w:val="000000"/>
                            <w:sz w:val="18"/>
                            <w:szCs w:val="18"/>
                            <w:lang w:val="en-US" w:bidi="en-US"/>
                          </w:rPr>
                        </w:pPr>
                        <w:r>
                          <w:rPr>
                            <w:rFonts w:asciiTheme="minorHAnsi" w:hAnsiTheme="minorHAnsi" w:cstheme="minorHAnsi"/>
                            <w:color w:val="000000"/>
                            <w:sz w:val="18"/>
                            <w:szCs w:val="18"/>
                            <w:lang w:val="en-US" w:bidi="en-US"/>
                          </w:rPr>
                          <w:t>3,524</w:t>
                        </w:r>
                      </w:p>
                      <w:p w14:paraId="4FE71976" w14:textId="77777777" w:rsidR="007C0C67" w:rsidRDefault="007C0C67" w:rsidP="006F0BD3">
                        <w:pPr>
                          <w:spacing w:after="0" w:line="240" w:lineRule="auto"/>
                          <w:jc w:val="right"/>
                          <w:rPr>
                            <w:rFonts w:asciiTheme="minorHAnsi" w:hAnsiTheme="minorHAnsi" w:cstheme="minorHAnsi"/>
                            <w:color w:val="000000"/>
                            <w:sz w:val="18"/>
                            <w:szCs w:val="18"/>
                            <w:lang w:val="en-US" w:bidi="en-US"/>
                          </w:rPr>
                        </w:pPr>
                        <w:r>
                          <w:rPr>
                            <w:rFonts w:asciiTheme="minorHAnsi" w:hAnsiTheme="minorHAnsi" w:cstheme="minorHAnsi"/>
                            <w:color w:val="000000"/>
                            <w:sz w:val="18"/>
                            <w:szCs w:val="18"/>
                            <w:lang w:val="en-US" w:bidi="en-US"/>
                          </w:rPr>
                          <w:t>261</w:t>
                        </w:r>
                      </w:p>
                      <w:p w14:paraId="65DA7DCF" w14:textId="56021608" w:rsidR="007C0C67" w:rsidRPr="00846EEE" w:rsidRDefault="007C0C67" w:rsidP="006F0BD3">
                        <w:pPr>
                          <w:spacing w:after="0" w:line="240" w:lineRule="auto"/>
                          <w:jc w:val="right"/>
                          <w:rPr>
                            <w:rFonts w:asciiTheme="minorHAnsi" w:hAnsiTheme="minorHAnsi" w:cstheme="minorHAnsi"/>
                            <w:color w:val="000000"/>
                            <w:sz w:val="18"/>
                            <w:szCs w:val="18"/>
                            <w:lang w:val="en-US" w:bidi="en-US"/>
                          </w:rPr>
                        </w:pPr>
                        <w:r>
                          <w:rPr>
                            <w:rFonts w:asciiTheme="minorHAnsi" w:hAnsiTheme="minorHAnsi" w:cstheme="minorHAnsi"/>
                            <w:color w:val="000000"/>
                            <w:sz w:val="18"/>
                            <w:szCs w:val="18"/>
                            <w:lang w:val="en-US" w:bidi="en-US"/>
                          </w:rPr>
                          <w:t>357</w:t>
                        </w:r>
                      </w:p>
                    </w:tc>
                  </w:tr>
                  <w:tr w:rsidR="006F0BD3" w:rsidRPr="00551D5A" w14:paraId="452EB80B" w14:textId="77777777" w:rsidTr="00997EF7">
                    <w:tc>
                      <w:tcPr>
                        <w:tcW w:w="4857" w:type="dxa"/>
                        <w:tcBorders>
                          <w:top w:val="single" w:sz="4" w:space="0" w:color="auto"/>
                          <w:left w:val="nil"/>
                          <w:bottom w:val="double" w:sz="4" w:space="0" w:color="auto"/>
                          <w:right w:val="nil"/>
                        </w:tcBorders>
                        <w:shd w:val="clear" w:color="auto" w:fill="auto"/>
                      </w:tcPr>
                      <w:p w14:paraId="08A265A7" w14:textId="77777777" w:rsidR="006F0BD3" w:rsidRPr="00846EEE" w:rsidRDefault="006F0BD3" w:rsidP="006F0BD3">
                        <w:pPr>
                          <w:spacing w:after="0" w:line="240" w:lineRule="auto"/>
                          <w:rPr>
                            <w:rFonts w:asciiTheme="minorHAnsi" w:hAnsiTheme="minorHAnsi" w:cstheme="minorHAnsi"/>
                            <w:b/>
                            <w:bCs/>
                            <w:color w:val="000000"/>
                            <w:sz w:val="18"/>
                            <w:szCs w:val="18"/>
                            <w:lang w:val="en-US" w:bidi="en-US"/>
                          </w:rPr>
                        </w:pPr>
                      </w:p>
                    </w:tc>
                    <w:tc>
                      <w:tcPr>
                        <w:tcW w:w="1537" w:type="dxa"/>
                        <w:tcBorders>
                          <w:top w:val="single" w:sz="4" w:space="0" w:color="auto"/>
                          <w:left w:val="nil"/>
                          <w:bottom w:val="double" w:sz="4" w:space="0" w:color="auto"/>
                          <w:right w:val="nil"/>
                        </w:tcBorders>
                        <w:shd w:val="clear" w:color="auto" w:fill="auto"/>
                      </w:tcPr>
                      <w:p w14:paraId="59225E1B" w14:textId="28A1D1B4" w:rsidR="006F0BD3" w:rsidRPr="00846EEE" w:rsidRDefault="00327C65" w:rsidP="006F0BD3">
                        <w:pPr>
                          <w:pStyle w:val="DecimalAligned"/>
                          <w:spacing w:after="0" w:line="240" w:lineRule="auto"/>
                          <w:jc w:val="right"/>
                          <w:rPr>
                            <w:rFonts w:asciiTheme="minorHAnsi" w:hAnsiTheme="minorHAnsi" w:cstheme="minorHAnsi"/>
                            <w:b/>
                            <w:bCs/>
                            <w:color w:val="000000"/>
                            <w:sz w:val="18"/>
                            <w:szCs w:val="18"/>
                            <w:lang w:bidi="en-US"/>
                          </w:rPr>
                        </w:pPr>
                        <w:r>
                          <w:rPr>
                            <w:rFonts w:asciiTheme="minorHAnsi" w:hAnsiTheme="minorHAnsi" w:cstheme="minorHAnsi"/>
                            <w:b/>
                            <w:bCs/>
                            <w:color w:val="000000"/>
                            <w:sz w:val="18"/>
                            <w:szCs w:val="18"/>
                            <w:lang w:bidi="en-US"/>
                          </w:rPr>
                          <w:t>2</w:t>
                        </w:r>
                        <w:r w:rsidR="008431B9">
                          <w:rPr>
                            <w:rFonts w:asciiTheme="minorHAnsi" w:hAnsiTheme="minorHAnsi" w:cstheme="minorHAnsi"/>
                            <w:b/>
                            <w:bCs/>
                            <w:color w:val="000000"/>
                            <w:sz w:val="18"/>
                            <w:szCs w:val="18"/>
                            <w:lang w:bidi="en-US"/>
                          </w:rPr>
                          <w:t>4</w:t>
                        </w:r>
                        <w:r>
                          <w:rPr>
                            <w:rFonts w:asciiTheme="minorHAnsi" w:hAnsiTheme="minorHAnsi" w:cstheme="minorHAnsi"/>
                            <w:b/>
                            <w:bCs/>
                            <w:color w:val="000000"/>
                            <w:sz w:val="18"/>
                            <w:szCs w:val="18"/>
                            <w:lang w:bidi="en-US"/>
                          </w:rPr>
                          <w:t>0</w:t>
                        </w:r>
                      </w:p>
                    </w:tc>
                    <w:tc>
                      <w:tcPr>
                        <w:tcW w:w="1537" w:type="dxa"/>
                        <w:tcBorders>
                          <w:top w:val="single" w:sz="4" w:space="0" w:color="auto"/>
                          <w:left w:val="nil"/>
                          <w:bottom w:val="double" w:sz="4" w:space="0" w:color="auto"/>
                          <w:right w:val="nil"/>
                        </w:tcBorders>
                      </w:tcPr>
                      <w:p w14:paraId="1681129E" w14:textId="404C1D2D" w:rsidR="006F0BD3" w:rsidRPr="00846EEE" w:rsidRDefault="006F0BD3" w:rsidP="006F0BD3">
                        <w:pPr>
                          <w:pStyle w:val="DecimalAligned"/>
                          <w:spacing w:after="0" w:line="240" w:lineRule="auto"/>
                          <w:jc w:val="right"/>
                          <w:rPr>
                            <w:rFonts w:asciiTheme="minorHAnsi" w:hAnsiTheme="minorHAnsi" w:cstheme="minorHAnsi"/>
                            <w:bCs/>
                            <w:color w:val="000000"/>
                            <w:sz w:val="18"/>
                            <w:szCs w:val="18"/>
                            <w:lang w:bidi="en-US"/>
                          </w:rPr>
                        </w:pPr>
                        <w:r w:rsidRPr="00846EEE">
                          <w:rPr>
                            <w:rFonts w:asciiTheme="minorHAnsi" w:hAnsiTheme="minorHAnsi" w:cstheme="minorHAnsi"/>
                            <w:bCs/>
                            <w:color w:val="000000"/>
                            <w:sz w:val="18"/>
                            <w:szCs w:val="18"/>
                            <w:lang w:bidi="en-US"/>
                          </w:rPr>
                          <w:t>1,327</w:t>
                        </w:r>
                      </w:p>
                    </w:tc>
                    <w:tc>
                      <w:tcPr>
                        <w:tcW w:w="1538" w:type="dxa"/>
                        <w:tcBorders>
                          <w:top w:val="single" w:sz="4" w:space="0" w:color="auto"/>
                          <w:left w:val="nil"/>
                          <w:bottom w:val="double" w:sz="4" w:space="0" w:color="auto"/>
                          <w:right w:val="nil"/>
                        </w:tcBorders>
                        <w:shd w:val="clear" w:color="auto" w:fill="auto"/>
                      </w:tcPr>
                      <w:p w14:paraId="70B404F2" w14:textId="09E95801" w:rsidR="006F0BD3" w:rsidRPr="00846EEE" w:rsidRDefault="007C0C67" w:rsidP="006F0BD3">
                        <w:pPr>
                          <w:pStyle w:val="DecimalAligned"/>
                          <w:spacing w:after="0" w:line="240" w:lineRule="auto"/>
                          <w:jc w:val="right"/>
                          <w:rPr>
                            <w:rFonts w:asciiTheme="minorHAnsi" w:hAnsiTheme="minorHAnsi" w:cstheme="minorHAnsi"/>
                            <w:bCs/>
                            <w:color w:val="000000"/>
                            <w:sz w:val="18"/>
                            <w:szCs w:val="18"/>
                            <w:lang w:bidi="en-US"/>
                          </w:rPr>
                        </w:pPr>
                        <w:r>
                          <w:rPr>
                            <w:rFonts w:asciiTheme="minorHAnsi" w:hAnsiTheme="minorHAnsi" w:cstheme="minorHAnsi"/>
                            <w:bCs/>
                            <w:color w:val="000000"/>
                            <w:sz w:val="18"/>
                            <w:szCs w:val="18"/>
                            <w:lang w:bidi="en-US"/>
                          </w:rPr>
                          <w:t>4,142</w:t>
                        </w:r>
                      </w:p>
                    </w:tc>
                  </w:tr>
                </w:tbl>
                <w:p w14:paraId="2C5748DA" w14:textId="77777777" w:rsidR="00413481" w:rsidRPr="00846EEE" w:rsidRDefault="00413481" w:rsidP="0047121F">
                  <w:pPr>
                    <w:autoSpaceDE w:val="0"/>
                    <w:autoSpaceDN w:val="0"/>
                    <w:adjustRightInd w:val="0"/>
                    <w:spacing w:after="0" w:line="240" w:lineRule="auto"/>
                    <w:rPr>
                      <w:rFonts w:asciiTheme="minorHAnsi" w:hAnsiTheme="minorHAnsi" w:cstheme="minorHAnsi"/>
                      <w:sz w:val="18"/>
                      <w:szCs w:val="18"/>
                      <w:highlight w:val="yellow"/>
                    </w:rPr>
                  </w:pPr>
                </w:p>
                <w:p w14:paraId="2B929848" w14:textId="77777777" w:rsidR="00413481" w:rsidRPr="00846EEE" w:rsidRDefault="0031653F" w:rsidP="0047121F">
                  <w:pPr>
                    <w:autoSpaceDE w:val="0"/>
                    <w:autoSpaceDN w:val="0"/>
                    <w:adjustRightInd w:val="0"/>
                    <w:spacing w:after="0" w:line="240" w:lineRule="auto"/>
                    <w:jc w:val="both"/>
                    <w:rPr>
                      <w:rFonts w:asciiTheme="minorHAnsi" w:hAnsiTheme="minorHAnsi" w:cstheme="minorHAnsi"/>
                      <w:sz w:val="18"/>
                      <w:szCs w:val="18"/>
                    </w:rPr>
                  </w:pPr>
                  <w:r w:rsidRPr="00846EEE">
                    <w:rPr>
                      <w:rFonts w:asciiTheme="minorHAnsi" w:hAnsiTheme="minorHAnsi" w:cstheme="minorHAnsi"/>
                      <w:sz w:val="18"/>
                      <w:szCs w:val="18"/>
                    </w:rPr>
                    <w:t>The following is a reconciliation of the financial instruments to the statement of financial position:</w:t>
                  </w:r>
                </w:p>
                <w:p w14:paraId="31E8C7C4" w14:textId="77777777" w:rsidR="00D13D66" w:rsidRPr="00846EEE" w:rsidRDefault="00D13D66" w:rsidP="0047121F">
                  <w:pPr>
                    <w:autoSpaceDE w:val="0"/>
                    <w:autoSpaceDN w:val="0"/>
                    <w:adjustRightInd w:val="0"/>
                    <w:spacing w:after="0" w:line="240" w:lineRule="auto"/>
                    <w:rPr>
                      <w:rFonts w:asciiTheme="minorHAnsi" w:hAnsiTheme="minorHAnsi" w:cstheme="minorHAnsi"/>
                      <w:sz w:val="18"/>
                      <w:szCs w:val="18"/>
                    </w:rPr>
                  </w:pPr>
                </w:p>
                <w:tbl>
                  <w:tblPr>
                    <w:tblW w:w="9469" w:type="dxa"/>
                    <w:tblBorders>
                      <w:top w:val="single" w:sz="8" w:space="0" w:color="4F81BD"/>
                      <w:bottom w:val="single" w:sz="8" w:space="0" w:color="4F81BD"/>
                    </w:tblBorders>
                    <w:tblLayout w:type="fixed"/>
                    <w:tblLook w:val="0660" w:firstRow="1" w:lastRow="1" w:firstColumn="0" w:lastColumn="0" w:noHBand="1" w:noVBand="1"/>
                  </w:tblPr>
                  <w:tblGrid>
                    <w:gridCol w:w="4857"/>
                    <w:gridCol w:w="1537"/>
                    <w:gridCol w:w="1537"/>
                    <w:gridCol w:w="1538"/>
                  </w:tblGrid>
                  <w:tr w:rsidR="00671029" w:rsidRPr="00551D5A" w14:paraId="419A6164" w14:textId="77777777" w:rsidTr="00997EF7">
                    <w:tc>
                      <w:tcPr>
                        <w:tcW w:w="4857" w:type="dxa"/>
                        <w:tcBorders>
                          <w:top w:val="nil"/>
                          <w:left w:val="nil"/>
                          <w:bottom w:val="nil"/>
                          <w:right w:val="nil"/>
                        </w:tcBorders>
                        <w:shd w:val="clear" w:color="auto" w:fill="auto"/>
                      </w:tcPr>
                      <w:p w14:paraId="426EF0BB" w14:textId="77777777" w:rsidR="00671029" w:rsidRPr="00846EEE" w:rsidRDefault="00671029" w:rsidP="00671029">
                        <w:pPr>
                          <w:spacing w:after="0" w:line="240" w:lineRule="auto"/>
                          <w:rPr>
                            <w:rFonts w:asciiTheme="minorHAnsi" w:hAnsiTheme="minorHAnsi" w:cstheme="minorHAnsi"/>
                            <w:b/>
                            <w:bCs/>
                            <w:color w:val="000000"/>
                            <w:sz w:val="18"/>
                            <w:szCs w:val="18"/>
                            <w:lang w:val="en-US" w:bidi="en-US"/>
                          </w:rPr>
                        </w:pPr>
                      </w:p>
                      <w:p w14:paraId="084928D6" w14:textId="77777777" w:rsidR="00671029" w:rsidRPr="00846EEE" w:rsidRDefault="00671029" w:rsidP="00671029">
                        <w:pPr>
                          <w:spacing w:after="0" w:line="240" w:lineRule="auto"/>
                          <w:rPr>
                            <w:rFonts w:asciiTheme="minorHAnsi" w:hAnsiTheme="minorHAnsi" w:cstheme="minorHAnsi"/>
                            <w:b/>
                            <w:bCs/>
                            <w:color w:val="000000"/>
                            <w:sz w:val="18"/>
                            <w:szCs w:val="18"/>
                            <w:lang w:val="en-US" w:bidi="en-US"/>
                          </w:rPr>
                        </w:pPr>
                      </w:p>
                    </w:tc>
                    <w:tc>
                      <w:tcPr>
                        <w:tcW w:w="1537" w:type="dxa"/>
                        <w:tcBorders>
                          <w:top w:val="nil"/>
                          <w:left w:val="nil"/>
                          <w:bottom w:val="nil"/>
                          <w:right w:val="nil"/>
                        </w:tcBorders>
                        <w:shd w:val="clear" w:color="auto" w:fill="auto"/>
                        <w:vAlign w:val="bottom"/>
                      </w:tcPr>
                      <w:p w14:paraId="6DE80A71" w14:textId="67012C46" w:rsidR="00671029" w:rsidRPr="00846EEE" w:rsidRDefault="00671029" w:rsidP="00671029">
                        <w:pPr>
                          <w:spacing w:after="0" w:line="240" w:lineRule="auto"/>
                          <w:jc w:val="right"/>
                          <w:rPr>
                            <w:rFonts w:asciiTheme="minorHAnsi" w:hAnsiTheme="minorHAnsi" w:cstheme="minorHAnsi"/>
                            <w:b/>
                            <w:bCs/>
                            <w:color w:val="000000"/>
                            <w:sz w:val="18"/>
                            <w:szCs w:val="18"/>
                            <w:lang w:val="en-US" w:bidi="en-US"/>
                          </w:rPr>
                        </w:pPr>
                        <w:r w:rsidRPr="00846EEE">
                          <w:rPr>
                            <w:rFonts w:asciiTheme="minorHAnsi" w:hAnsiTheme="minorHAnsi" w:cstheme="minorHAnsi"/>
                            <w:b/>
                            <w:bCs/>
                            <w:color w:val="000000"/>
                            <w:sz w:val="18"/>
                            <w:szCs w:val="18"/>
                            <w:lang w:bidi="en-US"/>
                          </w:rPr>
                          <w:t>As at</w:t>
                        </w:r>
                        <w:r w:rsidRPr="00846EEE">
                          <w:rPr>
                            <w:rFonts w:asciiTheme="minorHAnsi" w:hAnsiTheme="minorHAnsi" w:cstheme="minorHAnsi"/>
                            <w:b/>
                            <w:bCs/>
                            <w:color w:val="000000"/>
                            <w:sz w:val="18"/>
                            <w:szCs w:val="18"/>
                            <w:lang w:bidi="en-US"/>
                          </w:rPr>
                          <w:br/>
                          <w:t>31 Jan</w:t>
                        </w:r>
                        <w:r>
                          <w:rPr>
                            <w:rFonts w:asciiTheme="minorHAnsi" w:hAnsiTheme="minorHAnsi" w:cstheme="minorHAnsi"/>
                            <w:b/>
                            <w:bCs/>
                            <w:color w:val="000000"/>
                            <w:sz w:val="18"/>
                            <w:szCs w:val="18"/>
                            <w:lang w:bidi="en-US"/>
                          </w:rPr>
                          <w:t>uary</w:t>
                        </w:r>
                        <w:r w:rsidRPr="00846EEE">
                          <w:rPr>
                            <w:rFonts w:asciiTheme="minorHAnsi" w:hAnsiTheme="minorHAnsi" w:cstheme="minorHAnsi"/>
                            <w:b/>
                            <w:bCs/>
                            <w:color w:val="000000"/>
                            <w:sz w:val="18"/>
                            <w:szCs w:val="18"/>
                            <w:lang w:bidi="en-US"/>
                          </w:rPr>
                          <w:t xml:space="preserve"> 2023</w:t>
                        </w:r>
                      </w:p>
                    </w:tc>
                    <w:tc>
                      <w:tcPr>
                        <w:tcW w:w="1537" w:type="dxa"/>
                        <w:tcBorders>
                          <w:top w:val="nil"/>
                          <w:left w:val="nil"/>
                          <w:bottom w:val="nil"/>
                          <w:right w:val="nil"/>
                        </w:tcBorders>
                        <w:vAlign w:val="bottom"/>
                      </w:tcPr>
                      <w:p w14:paraId="261DC9AA" w14:textId="637FC51D" w:rsidR="00671029" w:rsidRPr="00846EEE" w:rsidRDefault="00671029" w:rsidP="00671029">
                        <w:pPr>
                          <w:pStyle w:val="DecimalAligned"/>
                          <w:widowControl w:val="0"/>
                          <w:tabs>
                            <w:tab w:val="clear" w:pos="360"/>
                            <w:tab w:val="left" w:pos="352"/>
                            <w:tab w:val="left" w:pos="464"/>
                          </w:tabs>
                          <w:autoSpaceDE w:val="0"/>
                          <w:autoSpaceDN w:val="0"/>
                          <w:adjustRightInd w:val="0"/>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bCs/>
                            <w:color w:val="000000"/>
                            <w:sz w:val="18"/>
                            <w:szCs w:val="18"/>
                            <w:lang w:bidi="en-US"/>
                          </w:rPr>
                          <w:t>As at</w:t>
                        </w:r>
                        <w:r w:rsidRPr="00846EEE">
                          <w:rPr>
                            <w:rFonts w:asciiTheme="minorHAnsi" w:hAnsiTheme="minorHAnsi" w:cstheme="minorHAnsi"/>
                            <w:bCs/>
                            <w:color w:val="000000"/>
                            <w:sz w:val="18"/>
                            <w:szCs w:val="18"/>
                            <w:lang w:bidi="en-US"/>
                          </w:rPr>
                          <w:br/>
                          <w:t>31 Jan</w:t>
                        </w:r>
                        <w:r>
                          <w:rPr>
                            <w:rFonts w:asciiTheme="minorHAnsi" w:hAnsiTheme="minorHAnsi" w:cstheme="minorHAnsi"/>
                            <w:bCs/>
                            <w:color w:val="000000"/>
                            <w:sz w:val="18"/>
                            <w:szCs w:val="18"/>
                            <w:lang w:bidi="en-US"/>
                          </w:rPr>
                          <w:t>uary</w:t>
                        </w:r>
                        <w:r w:rsidRPr="00846EEE">
                          <w:rPr>
                            <w:rFonts w:asciiTheme="minorHAnsi" w:hAnsiTheme="minorHAnsi" w:cstheme="minorHAnsi"/>
                            <w:bCs/>
                            <w:color w:val="000000"/>
                            <w:sz w:val="18"/>
                            <w:szCs w:val="18"/>
                            <w:lang w:bidi="en-US"/>
                          </w:rPr>
                          <w:t xml:space="preserve"> 2022</w:t>
                        </w:r>
                      </w:p>
                    </w:tc>
                    <w:tc>
                      <w:tcPr>
                        <w:tcW w:w="1538" w:type="dxa"/>
                        <w:tcBorders>
                          <w:top w:val="nil"/>
                          <w:left w:val="nil"/>
                          <w:bottom w:val="nil"/>
                          <w:right w:val="nil"/>
                        </w:tcBorders>
                        <w:shd w:val="clear" w:color="auto" w:fill="auto"/>
                        <w:vAlign w:val="bottom"/>
                      </w:tcPr>
                      <w:p w14:paraId="582A841A" w14:textId="77777777" w:rsidR="00671029" w:rsidRPr="00846EEE" w:rsidRDefault="00671029" w:rsidP="00671029">
                        <w:pPr>
                          <w:spacing w:after="0" w:line="240" w:lineRule="auto"/>
                          <w:jc w:val="right"/>
                          <w:rPr>
                            <w:rFonts w:asciiTheme="minorHAnsi" w:hAnsiTheme="minorHAnsi" w:cstheme="minorHAnsi"/>
                            <w:bCs/>
                            <w:color w:val="000000"/>
                            <w:sz w:val="18"/>
                            <w:szCs w:val="18"/>
                            <w:lang w:val="en-US" w:bidi="en-US"/>
                          </w:rPr>
                        </w:pPr>
                        <w:r w:rsidRPr="00846EEE">
                          <w:rPr>
                            <w:rFonts w:asciiTheme="minorHAnsi" w:hAnsiTheme="minorHAnsi" w:cstheme="minorHAnsi"/>
                            <w:bCs/>
                            <w:color w:val="000000"/>
                            <w:sz w:val="18"/>
                            <w:szCs w:val="18"/>
                            <w:lang w:val="en-US" w:bidi="en-US"/>
                          </w:rPr>
                          <w:t xml:space="preserve">As at </w:t>
                        </w:r>
                      </w:p>
                      <w:p w14:paraId="75CC81BF" w14:textId="3592649A" w:rsidR="00671029" w:rsidRPr="00846EEE" w:rsidRDefault="00671029" w:rsidP="00671029">
                        <w:pPr>
                          <w:spacing w:after="0" w:line="240" w:lineRule="auto"/>
                          <w:jc w:val="right"/>
                          <w:rPr>
                            <w:rFonts w:asciiTheme="minorHAnsi" w:hAnsiTheme="minorHAnsi" w:cstheme="minorHAnsi"/>
                            <w:bCs/>
                            <w:color w:val="000000"/>
                            <w:sz w:val="18"/>
                            <w:szCs w:val="18"/>
                            <w:lang w:val="en-US" w:bidi="en-US"/>
                          </w:rPr>
                        </w:pPr>
                        <w:r w:rsidRPr="00846EEE">
                          <w:rPr>
                            <w:rFonts w:asciiTheme="minorHAnsi" w:hAnsiTheme="minorHAnsi" w:cstheme="minorHAnsi"/>
                            <w:bCs/>
                            <w:color w:val="000000"/>
                            <w:sz w:val="18"/>
                            <w:szCs w:val="18"/>
                            <w:lang w:bidi="en-US"/>
                          </w:rPr>
                          <w:t>31 Jul</w:t>
                        </w:r>
                        <w:r>
                          <w:rPr>
                            <w:rFonts w:asciiTheme="minorHAnsi" w:hAnsiTheme="minorHAnsi" w:cstheme="minorHAnsi"/>
                            <w:bCs/>
                            <w:color w:val="000000"/>
                            <w:sz w:val="18"/>
                            <w:szCs w:val="18"/>
                            <w:lang w:bidi="en-US"/>
                          </w:rPr>
                          <w:t>y</w:t>
                        </w:r>
                        <w:r w:rsidRPr="00846EEE">
                          <w:rPr>
                            <w:rFonts w:asciiTheme="minorHAnsi" w:hAnsiTheme="minorHAnsi" w:cstheme="minorHAnsi"/>
                            <w:bCs/>
                            <w:color w:val="000000"/>
                            <w:sz w:val="18"/>
                            <w:szCs w:val="18"/>
                            <w:lang w:bidi="en-US"/>
                          </w:rPr>
                          <w:t xml:space="preserve"> 2022</w:t>
                        </w:r>
                      </w:p>
                    </w:tc>
                  </w:tr>
                  <w:tr w:rsidR="00671029" w:rsidRPr="00551D5A" w14:paraId="1B83052E" w14:textId="77777777" w:rsidTr="00997EF7">
                    <w:tc>
                      <w:tcPr>
                        <w:tcW w:w="4857" w:type="dxa"/>
                        <w:tcBorders>
                          <w:top w:val="nil"/>
                          <w:left w:val="nil"/>
                          <w:bottom w:val="single" w:sz="4" w:space="0" w:color="auto"/>
                          <w:right w:val="nil"/>
                        </w:tcBorders>
                        <w:shd w:val="clear" w:color="auto" w:fill="auto"/>
                      </w:tcPr>
                      <w:p w14:paraId="080F832B" w14:textId="77777777" w:rsidR="00671029" w:rsidRPr="00846EEE" w:rsidRDefault="00671029" w:rsidP="00671029">
                        <w:pPr>
                          <w:spacing w:after="0" w:line="240" w:lineRule="auto"/>
                          <w:rPr>
                            <w:rFonts w:asciiTheme="minorHAnsi" w:hAnsiTheme="minorHAnsi" w:cstheme="minorHAnsi"/>
                            <w:b/>
                            <w:bCs/>
                            <w:color w:val="000000"/>
                            <w:sz w:val="18"/>
                            <w:szCs w:val="18"/>
                            <w:lang w:val="en-US" w:bidi="en-US"/>
                          </w:rPr>
                        </w:pPr>
                      </w:p>
                    </w:tc>
                    <w:tc>
                      <w:tcPr>
                        <w:tcW w:w="1537" w:type="dxa"/>
                        <w:tcBorders>
                          <w:top w:val="nil"/>
                          <w:left w:val="nil"/>
                          <w:bottom w:val="single" w:sz="4" w:space="0" w:color="auto"/>
                          <w:right w:val="nil"/>
                        </w:tcBorders>
                        <w:shd w:val="clear" w:color="auto" w:fill="auto"/>
                        <w:vAlign w:val="center"/>
                      </w:tcPr>
                      <w:p w14:paraId="5627C3E3" w14:textId="05B02572" w:rsidR="00671029" w:rsidRPr="00846EEE" w:rsidRDefault="00671029" w:rsidP="00671029">
                        <w:pPr>
                          <w:pStyle w:val="DecimalAligned"/>
                          <w:widowControl w:val="0"/>
                          <w:tabs>
                            <w:tab w:val="clear" w:pos="360"/>
                            <w:tab w:val="left" w:pos="352"/>
                            <w:tab w:val="left" w:pos="464"/>
                          </w:tabs>
                          <w:autoSpaceDE w:val="0"/>
                          <w:autoSpaceDN w:val="0"/>
                          <w:adjustRightInd w:val="0"/>
                          <w:spacing w:after="0" w:line="240" w:lineRule="auto"/>
                          <w:jc w:val="right"/>
                          <w:rPr>
                            <w:rFonts w:asciiTheme="minorHAnsi" w:hAnsiTheme="minorHAnsi" w:cstheme="minorHAnsi"/>
                            <w:b/>
                            <w:bCs/>
                            <w:color w:val="000000"/>
                            <w:sz w:val="18"/>
                            <w:szCs w:val="18"/>
                          </w:rPr>
                        </w:pPr>
                        <w:r w:rsidRPr="00846EEE">
                          <w:rPr>
                            <w:rFonts w:asciiTheme="minorHAnsi" w:hAnsiTheme="minorHAnsi" w:cstheme="minorHAnsi"/>
                            <w:b/>
                            <w:bCs/>
                            <w:sz w:val="18"/>
                            <w:szCs w:val="18"/>
                          </w:rPr>
                          <w:t>£’000</w:t>
                        </w:r>
                      </w:p>
                    </w:tc>
                    <w:tc>
                      <w:tcPr>
                        <w:tcW w:w="1537" w:type="dxa"/>
                        <w:tcBorders>
                          <w:top w:val="nil"/>
                          <w:left w:val="nil"/>
                          <w:bottom w:val="single" w:sz="4" w:space="0" w:color="auto"/>
                          <w:right w:val="nil"/>
                        </w:tcBorders>
                        <w:vAlign w:val="center"/>
                      </w:tcPr>
                      <w:p w14:paraId="4E92CF4E" w14:textId="51993518" w:rsidR="00671029" w:rsidRPr="00846EEE" w:rsidRDefault="00671029" w:rsidP="00671029">
                        <w:pPr>
                          <w:pStyle w:val="DecimalAligned"/>
                          <w:widowControl w:val="0"/>
                          <w:tabs>
                            <w:tab w:val="clear" w:pos="360"/>
                            <w:tab w:val="left" w:pos="352"/>
                            <w:tab w:val="left" w:pos="464"/>
                          </w:tabs>
                          <w:autoSpaceDE w:val="0"/>
                          <w:autoSpaceDN w:val="0"/>
                          <w:adjustRightInd w:val="0"/>
                          <w:spacing w:after="0" w:line="240" w:lineRule="auto"/>
                          <w:jc w:val="right"/>
                          <w:rPr>
                            <w:rFonts w:asciiTheme="minorHAnsi" w:hAnsiTheme="minorHAnsi" w:cstheme="minorHAnsi"/>
                            <w:bCs/>
                            <w:color w:val="000000"/>
                            <w:sz w:val="18"/>
                            <w:szCs w:val="18"/>
                          </w:rPr>
                        </w:pPr>
                        <w:r w:rsidRPr="00002756">
                          <w:rPr>
                            <w:rFonts w:asciiTheme="minorHAnsi" w:hAnsiTheme="minorHAnsi" w:cstheme="minorHAnsi"/>
                            <w:sz w:val="18"/>
                            <w:szCs w:val="18"/>
                          </w:rPr>
                          <w:t>£’000</w:t>
                        </w:r>
                      </w:p>
                    </w:tc>
                    <w:tc>
                      <w:tcPr>
                        <w:tcW w:w="1538" w:type="dxa"/>
                        <w:tcBorders>
                          <w:top w:val="nil"/>
                          <w:left w:val="nil"/>
                          <w:bottom w:val="single" w:sz="4" w:space="0" w:color="auto"/>
                          <w:right w:val="nil"/>
                        </w:tcBorders>
                        <w:shd w:val="clear" w:color="auto" w:fill="auto"/>
                        <w:vAlign w:val="center"/>
                      </w:tcPr>
                      <w:p w14:paraId="7127B621" w14:textId="7D96B9C6" w:rsidR="00671029" w:rsidRPr="00846EEE" w:rsidRDefault="00671029" w:rsidP="00671029">
                        <w:pPr>
                          <w:pStyle w:val="DecimalAligned"/>
                          <w:widowControl w:val="0"/>
                          <w:tabs>
                            <w:tab w:val="clear" w:pos="360"/>
                            <w:tab w:val="left" w:pos="352"/>
                            <w:tab w:val="left" w:pos="464"/>
                          </w:tabs>
                          <w:autoSpaceDE w:val="0"/>
                          <w:autoSpaceDN w:val="0"/>
                          <w:adjustRightInd w:val="0"/>
                          <w:spacing w:after="0" w:line="240" w:lineRule="auto"/>
                          <w:jc w:val="right"/>
                          <w:rPr>
                            <w:rFonts w:asciiTheme="minorHAnsi" w:hAnsiTheme="minorHAnsi" w:cstheme="minorHAnsi"/>
                            <w:color w:val="000000"/>
                            <w:sz w:val="18"/>
                            <w:szCs w:val="18"/>
                          </w:rPr>
                        </w:pPr>
                        <w:r w:rsidRPr="00002756">
                          <w:rPr>
                            <w:rFonts w:asciiTheme="minorHAnsi" w:hAnsiTheme="minorHAnsi" w:cstheme="minorHAnsi"/>
                            <w:sz w:val="18"/>
                            <w:szCs w:val="18"/>
                          </w:rPr>
                          <w:t>£’000</w:t>
                        </w:r>
                      </w:p>
                    </w:tc>
                  </w:tr>
                  <w:tr w:rsidR="006F0BD3" w:rsidRPr="00551D5A" w14:paraId="39342491" w14:textId="77777777" w:rsidTr="00997EF7">
                    <w:trPr>
                      <w:trHeight w:val="521"/>
                    </w:trPr>
                    <w:tc>
                      <w:tcPr>
                        <w:tcW w:w="4857" w:type="dxa"/>
                        <w:tcBorders>
                          <w:top w:val="single" w:sz="4" w:space="0" w:color="auto"/>
                        </w:tcBorders>
                        <w:shd w:val="clear" w:color="auto" w:fill="auto"/>
                      </w:tcPr>
                      <w:p w14:paraId="5A970D79" w14:textId="77777777" w:rsidR="006F0BD3" w:rsidRPr="00846EEE" w:rsidRDefault="006F0BD3" w:rsidP="006F0BD3">
                        <w:pPr>
                          <w:spacing w:after="0" w:line="240" w:lineRule="auto"/>
                          <w:rPr>
                            <w:rFonts w:asciiTheme="minorHAnsi" w:hAnsiTheme="minorHAnsi" w:cstheme="minorHAnsi"/>
                            <w:color w:val="000000"/>
                            <w:sz w:val="18"/>
                            <w:szCs w:val="18"/>
                            <w:lang w:val="en-US" w:bidi="en-US"/>
                          </w:rPr>
                        </w:pPr>
                        <w:r w:rsidRPr="00846EEE">
                          <w:rPr>
                            <w:rFonts w:asciiTheme="minorHAnsi" w:hAnsiTheme="minorHAnsi" w:cstheme="minorHAnsi"/>
                            <w:color w:val="000000"/>
                            <w:sz w:val="18"/>
                            <w:szCs w:val="18"/>
                            <w:lang w:val="en-US" w:bidi="en-US"/>
                          </w:rPr>
                          <w:t>Trade receivables</w:t>
                        </w:r>
                      </w:p>
                      <w:p w14:paraId="6FECB41E" w14:textId="77777777" w:rsidR="006F0BD3" w:rsidRPr="00846EEE" w:rsidRDefault="006F0BD3" w:rsidP="006F0BD3">
                        <w:pPr>
                          <w:spacing w:after="0" w:line="240" w:lineRule="auto"/>
                          <w:rPr>
                            <w:rFonts w:asciiTheme="minorHAnsi" w:hAnsiTheme="minorHAnsi" w:cstheme="minorHAnsi"/>
                            <w:color w:val="000000"/>
                            <w:sz w:val="18"/>
                            <w:szCs w:val="18"/>
                            <w:lang w:val="en-US" w:bidi="en-US"/>
                          </w:rPr>
                        </w:pPr>
                        <w:r w:rsidRPr="00846EEE">
                          <w:rPr>
                            <w:rFonts w:asciiTheme="minorHAnsi" w:hAnsiTheme="minorHAnsi" w:cstheme="minorHAnsi"/>
                            <w:color w:val="000000"/>
                            <w:sz w:val="18"/>
                            <w:szCs w:val="18"/>
                            <w:lang w:val="en-US" w:bidi="en-US"/>
                          </w:rPr>
                          <w:t>Prepayments and other receivables not classified as financial instruments</w:t>
                        </w:r>
                      </w:p>
                    </w:tc>
                    <w:tc>
                      <w:tcPr>
                        <w:tcW w:w="1537" w:type="dxa"/>
                        <w:tcBorders>
                          <w:top w:val="single" w:sz="4" w:space="0" w:color="auto"/>
                        </w:tcBorders>
                        <w:shd w:val="clear" w:color="auto" w:fill="auto"/>
                      </w:tcPr>
                      <w:p w14:paraId="0C4295F4" w14:textId="77777777" w:rsidR="006F0BD3" w:rsidRDefault="00327C65" w:rsidP="006F0BD3">
                        <w:pPr>
                          <w:spacing w:after="0" w:line="240" w:lineRule="auto"/>
                          <w:jc w:val="right"/>
                          <w:rPr>
                            <w:rStyle w:val="SubtleEmphasis"/>
                            <w:rFonts w:asciiTheme="minorHAnsi" w:hAnsiTheme="minorHAnsi" w:cstheme="minorHAnsi"/>
                            <w:b/>
                            <w:i w:val="0"/>
                            <w:color w:val="000000"/>
                            <w:sz w:val="18"/>
                            <w:szCs w:val="18"/>
                            <w:lang w:bidi="en-US"/>
                          </w:rPr>
                        </w:pPr>
                        <w:r>
                          <w:rPr>
                            <w:rStyle w:val="SubtleEmphasis"/>
                            <w:rFonts w:asciiTheme="minorHAnsi" w:hAnsiTheme="minorHAnsi" w:cstheme="minorHAnsi"/>
                            <w:b/>
                            <w:i w:val="0"/>
                            <w:color w:val="000000"/>
                            <w:sz w:val="18"/>
                            <w:szCs w:val="18"/>
                            <w:lang w:bidi="en-US"/>
                          </w:rPr>
                          <w:t>32,421</w:t>
                        </w:r>
                      </w:p>
                      <w:p w14:paraId="77E3641A" w14:textId="3E290518" w:rsidR="00327C65" w:rsidRPr="00846EEE" w:rsidRDefault="00327C65" w:rsidP="006F0BD3">
                        <w:pPr>
                          <w:spacing w:after="0" w:line="240" w:lineRule="auto"/>
                          <w:jc w:val="right"/>
                          <w:rPr>
                            <w:rStyle w:val="SubtleEmphasis"/>
                            <w:rFonts w:asciiTheme="minorHAnsi" w:hAnsiTheme="minorHAnsi" w:cstheme="minorHAnsi"/>
                            <w:b/>
                            <w:i w:val="0"/>
                            <w:color w:val="000000"/>
                            <w:sz w:val="18"/>
                            <w:szCs w:val="18"/>
                            <w:lang w:bidi="en-US"/>
                          </w:rPr>
                        </w:pPr>
                        <w:r>
                          <w:rPr>
                            <w:rStyle w:val="SubtleEmphasis"/>
                            <w:rFonts w:asciiTheme="minorHAnsi" w:hAnsiTheme="minorHAnsi" w:cstheme="minorHAnsi"/>
                            <w:b/>
                            <w:i w:val="0"/>
                            <w:color w:val="000000"/>
                            <w:sz w:val="18"/>
                            <w:szCs w:val="18"/>
                            <w:lang w:bidi="en-US"/>
                          </w:rPr>
                          <w:t>1,</w:t>
                        </w:r>
                        <w:r w:rsidR="00D71434">
                          <w:rPr>
                            <w:rStyle w:val="SubtleEmphasis"/>
                            <w:rFonts w:asciiTheme="minorHAnsi" w:hAnsiTheme="minorHAnsi" w:cstheme="minorHAnsi"/>
                            <w:b/>
                            <w:i w:val="0"/>
                            <w:color w:val="000000"/>
                            <w:sz w:val="18"/>
                            <w:szCs w:val="18"/>
                            <w:lang w:bidi="en-US"/>
                          </w:rPr>
                          <w:t>902</w:t>
                        </w:r>
                      </w:p>
                    </w:tc>
                    <w:tc>
                      <w:tcPr>
                        <w:tcW w:w="1537" w:type="dxa"/>
                        <w:tcBorders>
                          <w:top w:val="single" w:sz="4" w:space="0" w:color="auto"/>
                        </w:tcBorders>
                      </w:tcPr>
                      <w:p w14:paraId="54BB05EA" w14:textId="77777777" w:rsidR="006F0BD3" w:rsidRPr="00846EEE" w:rsidRDefault="006F0BD3" w:rsidP="006F0BD3">
                        <w:pPr>
                          <w:spacing w:after="0" w:line="240" w:lineRule="auto"/>
                          <w:jc w:val="right"/>
                          <w:rPr>
                            <w:rStyle w:val="SubtleEmphasis"/>
                            <w:rFonts w:asciiTheme="minorHAnsi" w:hAnsiTheme="minorHAnsi" w:cstheme="minorHAnsi"/>
                            <w:bCs/>
                            <w:i w:val="0"/>
                            <w:color w:val="000000"/>
                            <w:sz w:val="18"/>
                            <w:szCs w:val="18"/>
                            <w:lang w:bidi="en-US"/>
                          </w:rPr>
                        </w:pPr>
                        <w:r w:rsidRPr="00846EEE">
                          <w:rPr>
                            <w:rStyle w:val="SubtleEmphasis"/>
                            <w:rFonts w:asciiTheme="minorHAnsi" w:hAnsiTheme="minorHAnsi" w:cstheme="minorHAnsi"/>
                            <w:bCs/>
                            <w:i w:val="0"/>
                            <w:color w:val="000000"/>
                            <w:sz w:val="18"/>
                            <w:szCs w:val="18"/>
                            <w:lang w:bidi="en-US"/>
                          </w:rPr>
                          <w:t>36,656</w:t>
                        </w:r>
                      </w:p>
                      <w:p w14:paraId="76A11BE8" w14:textId="4645EB93" w:rsidR="006F0BD3" w:rsidRPr="00846EEE" w:rsidRDefault="006F0BD3" w:rsidP="006F0BD3">
                        <w:pPr>
                          <w:spacing w:after="0" w:line="240" w:lineRule="auto"/>
                          <w:jc w:val="right"/>
                          <w:rPr>
                            <w:rStyle w:val="SubtleEmphasis"/>
                            <w:rFonts w:asciiTheme="minorHAnsi" w:hAnsiTheme="minorHAnsi" w:cstheme="minorHAnsi"/>
                            <w:bCs/>
                            <w:i w:val="0"/>
                            <w:color w:val="000000"/>
                            <w:sz w:val="18"/>
                            <w:szCs w:val="18"/>
                            <w:lang w:bidi="en-US"/>
                          </w:rPr>
                        </w:pPr>
                        <w:r w:rsidRPr="00846EEE">
                          <w:rPr>
                            <w:rStyle w:val="SubtleEmphasis"/>
                            <w:rFonts w:asciiTheme="minorHAnsi" w:hAnsiTheme="minorHAnsi" w:cstheme="minorHAnsi"/>
                            <w:bCs/>
                            <w:i w:val="0"/>
                            <w:color w:val="000000"/>
                            <w:sz w:val="18"/>
                            <w:szCs w:val="18"/>
                            <w:lang w:bidi="en-US"/>
                          </w:rPr>
                          <w:t>1,097</w:t>
                        </w:r>
                      </w:p>
                    </w:tc>
                    <w:tc>
                      <w:tcPr>
                        <w:tcW w:w="1538" w:type="dxa"/>
                        <w:tcBorders>
                          <w:top w:val="single" w:sz="4" w:space="0" w:color="auto"/>
                        </w:tcBorders>
                        <w:shd w:val="clear" w:color="auto" w:fill="auto"/>
                      </w:tcPr>
                      <w:p w14:paraId="2FC94264" w14:textId="77777777" w:rsidR="006F0BD3" w:rsidRDefault="007C0C67" w:rsidP="006F0BD3">
                        <w:pPr>
                          <w:spacing w:after="0" w:line="240" w:lineRule="auto"/>
                          <w:jc w:val="right"/>
                          <w:rPr>
                            <w:rFonts w:asciiTheme="minorHAnsi" w:hAnsiTheme="minorHAnsi" w:cstheme="minorHAnsi"/>
                            <w:color w:val="000000"/>
                            <w:sz w:val="18"/>
                            <w:szCs w:val="18"/>
                            <w:lang w:val="en-US" w:bidi="en-US"/>
                          </w:rPr>
                        </w:pPr>
                        <w:r>
                          <w:rPr>
                            <w:rFonts w:asciiTheme="minorHAnsi" w:hAnsiTheme="minorHAnsi" w:cstheme="minorHAnsi"/>
                            <w:color w:val="000000"/>
                            <w:sz w:val="18"/>
                            <w:szCs w:val="18"/>
                            <w:lang w:val="en-US" w:bidi="en-US"/>
                          </w:rPr>
                          <w:t>30,643</w:t>
                        </w:r>
                      </w:p>
                      <w:p w14:paraId="4AFF24D0" w14:textId="4EE335F2" w:rsidR="007C0C67" w:rsidRPr="00846EEE" w:rsidRDefault="007C0C67" w:rsidP="006F0BD3">
                        <w:pPr>
                          <w:spacing w:after="0" w:line="240" w:lineRule="auto"/>
                          <w:jc w:val="right"/>
                          <w:rPr>
                            <w:rFonts w:asciiTheme="minorHAnsi" w:hAnsiTheme="minorHAnsi" w:cstheme="minorHAnsi"/>
                            <w:color w:val="000000"/>
                            <w:sz w:val="18"/>
                            <w:szCs w:val="18"/>
                            <w:lang w:val="en-US" w:bidi="en-US"/>
                          </w:rPr>
                        </w:pPr>
                        <w:r>
                          <w:rPr>
                            <w:rFonts w:asciiTheme="minorHAnsi" w:hAnsiTheme="minorHAnsi" w:cstheme="minorHAnsi"/>
                            <w:color w:val="000000"/>
                            <w:sz w:val="18"/>
                            <w:szCs w:val="18"/>
                            <w:lang w:val="en-US" w:bidi="en-US"/>
                          </w:rPr>
                          <w:t>1,551</w:t>
                        </w:r>
                      </w:p>
                    </w:tc>
                  </w:tr>
                  <w:tr w:rsidR="006F0BD3" w:rsidRPr="00551D5A" w14:paraId="23C60E6C" w14:textId="77777777" w:rsidTr="00997EF7">
                    <w:tc>
                      <w:tcPr>
                        <w:tcW w:w="4857" w:type="dxa"/>
                        <w:tcBorders>
                          <w:top w:val="single" w:sz="4" w:space="0" w:color="auto"/>
                          <w:left w:val="nil"/>
                          <w:bottom w:val="double" w:sz="4" w:space="0" w:color="auto"/>
                          <w:right w:val="nil"/>
                        </w:tcBorders>
                        <w:shd w:val="clear" w:color="auto" w:fill="auto"/>
                      </w:tcPr>
                      <w:p w14:paraId="206BA2D3" w14:textId="4C2A28E8" w:rsidR="006F0BD3" w:rsidRPr="00846EEE" w:rsidRDefault="006F0BD3" w:rsidP="006F0BD3">
                        <w:pPr>
                          <w:spacing w:after="0" w:line="240" w:lineRule="auto"/>
                          <w:rPr>
                            <w:rFonts w:asciiTheme="minorHAnsi" w:hAnsiTheme="minorHAnsi" w:cstheme="minorHAnsi"/>
                            <w:b/>
                            <w:bCs/>
                            <w:color w:val="000000"/>
                            <w:sz w:val="18"/>
                            <w:szCs w:val="18"/>
                            <w:lang w:val="en-US" w:bidi="en-US"/>
                          </w:rPr>
                        </w:pPr>
                        <w:r w:rsidRPr="00846EEE">
                          <w:rPr>
                            <w:rFonts w:asciiTheme="minorHAnsi" w:hAnsiTheme="minorHAnsi" w:cstheme="minorHAnsi"/>
                            <w:b/>
                            <w:bCs/>
                            <w:color w:val="000000"/>
                            <w:sz w:val="18"/>
                            <w:szCs w:val="18"/>
                            <w:lang w:val="en-US" w:bidi="en-US"/>
                          </w:rPr>
                          <w:t>Trade and other receivables</w:t>
                        </w:r>
                      </w:p>
                    </w:tc>
                    <w:tc>
                      <w:tcPr>
                        <w:tcW w:w="1537" w:type="dxa"/>
                        <w:tcBorders>
                          <w:top w:val="single" w:sz="4" w:space="0" w:color="auto"/>
                          <w:left w:val="nil"/>
                          <w:bottom w:val="double" w:sz="4" w:space="0" w:color="auto"/>
                          <w:right w:val="nil"/>
                        </w:tcBorders>
                        <w:shd w:val="clear" w:color="auto" w:fill="auto"/>
                      </w:tcPr>
                      <w:p w14:paraId="5C522B74" w14:textId="31B45BB9" w:rsidR="006F0BD3" w:rsidRPr="00846EEE" w:rsidRDefault="00327C65" w:rsidP="006F0BD3">
                        <w:pPr>
                          <w:pStyle w:val="DecimalAligned"/>
                          <w:spacing w:after="0" w:line="240" w:lineRule="auto"/>
                          <w:jc w:val="right"/>
                          <w:rPr>
                            <w:rFonts w:asciiTheme="minorHAnsi" w:hAnsiTheme="minorHAnsi" w:cstheme="minorHAnsi"/>
                            <w:b/>
                            <w:bCs/>
                            <w:color w:val="000000"/>
                            <w:sz w:val="18"/>
                            <w:szCs w:val="18"/>
                            <w:lang w:bidi="en-US"/>
                          </w:rPr>
                        </w:pPr>
                        <w:r>
                          <w:rPr>
                            <w:rFonts w:asciiTheme="minorHAnsi" w:hAnsiTheme="minorHAnsi" w:cstheme="minorHAnsi"/>
                            <w:b/>
                            <w:bCs/>
                            <w:color w:val="000000"/>
                            <w:sz w:val="18"/>
                            <w:szCs w:val="18"/>
                            <w:lang w:bidi="en-US"/>
                          </w:rPr>
                          <w:t>3</w:t>
                        </w:r>
                        <w:r w:rsidR="00D71434">
                          <w:rPr>
                            <w:rFonts w:asciiTheme="minorHAnsi" w:hAnsiTheme="minorHAnsi" w:cstheme="minorHAnsi"/>
                            <w:b/>
                            <w:bCs/>
                            <w:color w:val="000000"/>
                            <w:sz w:val="18"/>
                            <w:szCs w:val="18"/>
                            <w:lang w:bidi="en-US"/>
                          </w:rPr>
                          <w:t>4,323</w:t>
                        </w:r>
                      </w:p>
                    </w:tc>
                    <w:tc>
                      <w:tcPr>
                        <w:tcW w:w="1537" w:type="dxa"/>
                        <w:tcBorders>
                          <w:top w:val="single" w:sz="4" w:space="0" w:color="auto"/>
                          <w:left w:val="nil"/>
                          <w:bottom w:val="double" w:sz="4" w:space="0" w:color="auto"/>
                          <w:right w:val="nil"/>
                        </w:tcBorders>
                      </w:tcPr>
                      <w:p w14:paraId="5759E0D3" w14:textId="19C12DA0" w:rsidR="006F0BD3" w:rsidRPr="00846EEE" w:rsidRDefault="006F0BD3" w:rsidP="006F0BD3">
                        <w:pPr>
                          <w:pStyle w:val="DecimalAligned"/>
                          <w:spacing w:after="0" w:line="240" w:lineRule="auto"/>
                          <w:jc w:val="right"/>
                          <w:rPr>
                            <w:rFonts w:asciiTheme="minorHAnsi" w:hAnsiTheme="minorHAnsi" w:cstheme="minorHAnsi"/>
                            <w:bCs/>
                            <w:color w:val="000000"/>
                            <w:sz w:val="18"/>
                            <w:szCs w:val="18"/>
                            <w:lang w:bidi="en-US"/>
                          </w:rPr>
                        </w:pPr>
                        <w:r w:rsidRPr="00846EEE">
                          <w:rPr>
                            <w:rFonts w:asciiTheme="minorHAnsi" w:hAnsiTheme="minorHAnsi" w:cstheme="minorHAnsi"/>
                            <w:bCs/>
                            <w:color w:val="000000"/>
                            <w:sz w:val="18"/>
                            <w:szCs w:val="18"/>
                            <w:lang w:bidi="en-US"/>
                          </w:rPr>
                          <w:t>37,753</w:t>
                        </w:r>
                      </w:p>
                    </w:tc>
                    <w:tc>
                      <w:tcPr>
                        <w:tcW w:w="1538" w:type="dxa"/>
                        <w:tcBorders>
                          <w:top w:val="single" w:sz="4" w:space="0" w:color="auto"/>
                          <w:left w:val="nil"/>
                          <w:bottom w:val="double" w:sz="4" w:space="0" w:color="auto"/>
                          <w:right w:val="nil"/>
                        </w:tcBorders>
                        <w:shd w:val="clear" w:color="auto" w:fill="auto"/>
                      </w:tcPr>
                      <w:p w14:paraId="2E12D6C5" w14:textId="03986272" w:rsidR="006F0BD3" w:rsidRPr="00846EEE" w:rsidRDefault="007C0C67" w:rsidP="006F0BD3">
                        <w:pPr>
                          <w:pStyle w:val="DecimalAligned"/>
                          <w:spacing w:after="0" w:line="240" w:lineRule="auto"/>
                          <w:jc w:val="right"/>
                          <w:rPr>
                            <w:rFonts w:asciiTheme="minorHAnsi" w:hAnsiTheme="minorHAnsi" w:cstheme="minorHAnsi"/>
                            <w:bCs/>
                            <w:color w:val="000000"/>
                            <w:sz w:val="18"/>
                            <w:szCs w:val="18"/>
                            <w:lang w:bidi="en-US"/>
                          </w:rPr>
                        </w:pPr>
                        <w:r>
                          <w:rPr>
                            <w:rFonts w:asciiTheme="minorHAnsi" w:hAnsiTheme="minorHAnsi" w:cstheme="minorHAnsi"/>
                            <w:bCs/>
                            <w:color w:val="000000"/>
                            <w:sz w:val="18"/>
                            <w:szCs w:val="18"/>
                            <w:lang w:bidi="en-US"/>
                          </w:rPr>
                          <w:t>32,194</w:t>
                        </w:r>
                      </w:p>
                    </w:tc>
                  </w:tr>
                </w:tbl>
                <w:p w14:paraId="00240A53" w14:textId="77777777" w:rsidR="0031653F" w:rsidRPr="00846EEE" w:rsidRDefault="0031653F" w:rsidP="0047121F">
                  <w:pPr>
                    <w:autoSpaceDE w:val="0"/>
                    <w:autoSpaceDN w:val="0"/>
                    <w:adjustRightInd w:val="0"/>
                    <w:spacing w:after="0" w:line="240" w:lineRule="auto"/>
                    <w:rPr>
                      <w:rFonts w:asciiTheme="minorHAnsi" w:hAnsiTheme="minorHAnsi" w:cstheme="minorHAnsi"/>
                      <w:sz w:val="18"/>
                      <w:szCs w:val="18"/>
                      <w:highlight w:val="yellow"/>
                    </w:rPr>
                  </w:pPr>
                </w:p>
                <w:tbl>
                  <w:tblPr>
                    <w:tblW w:w="9469" w:type="dxa"/>
                    <w:tblBorders>
                      <w:top w:val="single" w:sz="8" w:space="0" w:color="4F81BD"/>
                      <w:bottom w:val="single" w:sz="8" w:space="0" w:color="4F81BD"/>
                    </w:tblBorders>
                    <w:tblLayout w:type="fixed"/>
                    <w:tblLook w:val="0660" w:firstRow="1" w:lastRow="1" w:firstColumn="0" w:lastColumn="0" w:noHBand="1" w:noVBand="1"/>
                  </w:tblPr>
                  <w:tblGrid>
                    <w:gridCol w:w="4857"/>
                    <w:gridCol w:w="1537"/>
                    <w:gridCol w:w="1537"/>
                    <w:gridCol w:w="1538"/>
                  </w:tblGrid>
                  <w:tr w:rsidR="00671029" w:rsidRPr="00551D5A" w14:paraId="1A86BEE4" w14:textId="77777777" w:rsidTr="00997EF7">
                    <w:tc>
                      <w:tcPr>
                        <w:tcW w:w="4857" w:type="dxa"/>
                        <w:tcBorders>
                          <w:top w:val="nil"/>
                          <w:left w:val="nil"/>
                          <w:bottom w:val="nil"/>
                          <w:right w:val="nil"/>
                        </w:tcBorders>
                        <w:shd w:val="clear" w:color="auto" w:fill="auto"/>
                      </w:tcPr>
                      <w:p w14:paraId="54EF46F9" w14:textId="77777777" w:rsidR="00671029" w:rsidRPr="00846EEE" w:rsidRDefault="00671029" w:rsidP="00671029">
                        <w:pPr>
                          <w:spacing w:after="0" w:line="240" w:lineRule="auto"/>
                          <w:rPr>
                            <w:rFonts w:asciiTheme="minorHAnsi" w:hAnsiTheme="minorHAnsi" w:cstheme="minorHAnsi"/>
                            <w:b/>
                            <w:bCs/>
                            <w:color w:val="000000"/>
                            <w:sz w:val="18"/>
                            <w:szCs w:val="18"/>
                            <w:lang w:val="en-US" w:bidi="en-US"/>
                          </w:rPr>
                        </w:pPr>
                      </w:p>
                      <w:p w14:paraId="7E3EF52D" w14:textId="77777777" w:rsidR="00671029" w:rsidRPr="00846EEE" w:rsidRDefault="00671029" w:rsidP="00671029">
                        <w:pPr>
                          <w:spacing w:after="0" w:line="240" w:lineRule="auto"/>
                          <w:rPr>
                            <w:rFonts w:asciiTheme="minorHAnsi" w:hAnsiTheme="minorHAnsi" w:cstheme="minorHAnsi"/>
                            <w:b/>
                            <w:bCs/>
                            <w:color w:val="000000"/>
                            <w:sz w:val="18"/>
                            <w:szCs w:val="18"/>
                            <w:lang w:val="en-US" w:bidi="en-US"/>
                          </w:rPr>
                        </w:pPr>
                      </w:p>
                    </w:tc>
                    <w:tc>
                      <w:tcPr>
                        <w:tcW w:w="1537" w:type="dxa"/>
                        <w:tcBorders>
                          <w:top w:val="nil"/>
                          <w:left w:val="nil"/>
                          <w:bottom w:val="nil"/>
                          <w:right w:val="nil"/>
                        </w:tcBorders>
                        <w:shd w:val="clear" w:color="auto" w:fill="auto"/>
                        <w:vAlign w:val="bottom"/>
                      </w:tcPr>
                      <w:p w14:paraId="650EAEF3" w14:textId="43C9B326" w:rsidR="00671029" w:rsidRPr="00846EEE" w:rsidRDefault="00671029" w:rsidP="00671029">
                        <w:pPr>
                          <w:spacing w:after="0" w:line="240" w:lineRule="auto"/>
                          <w:jc w:val="right"/>
                          <w:rPr>
                            <w:rFonts w:asciiTheme="minorHAnsi" w:hAnsiTheme="minorHAnsi" w:cstheme="minorHAnsi"/>
                            <w:b/>
                            <w:bCs/>
                            <w:color w:val="000000"/>
                            <w:sz w:val="18"/>
                            <w:szCs w:val="18"/>
                            <w:lang w:val="en-US" w:bidi="en-US"/>
                          </w:rPr>
                        </w:pPr>
                        <w:r w:rsidRPr="00846EEE">
                          <w:rPr>
                            <w:rFonts w:asciiTheme="minorHAnsi" w:hAnsiTheme="minorHAnsi" w:cstheme="minorHAnsi"/>
                            <w:b/>
                            <w:bCs/>
                            <w:color w:val="000000"/>
                            <w:sz w:val="18"/>
                            <w:szCs w:val="18"/>
                            <w:lang w:bidi="en-US"/>
                          </w:rPr>
                          <w:t>As at</w:t>
                        </w:r>
                        <w:r w:rsidRPr="00846EEE">
                          <w:rPr>
                            <w:rFonts w:asciiTheme="minorHAnsi" w:hAnsiTheme="minorHAnsi" w:cstheme="minorHAnsi"/>
                            <w:b/>
                            <w:bCs/>
                            <w:color w:val="000000"/>
                            <w:sz w:val="18"/>
                            <w:szCs w:val="18"/>
                            <w:lang w:bidi="en-US"/>
                          </w:rPr>
                          <w:br/>
                          <w:t>31 Jan</w:t>
                        </w:r>
                        <w:r>
                          <w:rPr>
                            <w:rFonts w:asciiTheme="minorHAnsi" w:hAnsiTheme="minorHAnsi" w:cstheme="minorHAnsi"/>
                            <w:b/>
                            <w:bCs/>
                            <w:color w:val="000000"/>
                            <w:sz w:val="18"/>
                            <w:szCs w:val="18"/>
                            <w:lang w:bidi="en-US"/>
                          </w:rPr>
                          <w:t>uary</w:t>
                        </w:r>
                        <w:r w:rsidRPr="00846EEE">
                          <w:rPr>
                            <w:rFonts w:asciiTheme="minorHAnsi" w:hAnsiTheme="minorHAnsi" w:cstheme="minorHAnsi"/>
                            <w:b/>
                            <w:bCs/>
                            <w:color w:val="000000"/>
                            <w:sz w:val="18"/>
                            <w:szCs w:val="18"/>
                            <w:lang w:bidi="en-US"/>
                          </w:rPr>
                          <w:t xml:space="preserve"> 2023</w:t>
                        </w:r>
                      </w:p>
                    </w:tc>
                    <w:tc>
                      <w:tcPr>
                        <w:tcW w:w="1537" w:type="dxa"/>
                        <w:tcBorders>
                          <w:top w:val="nil"/>
                          <w:left w:val="nil"/>
                          <w:bottom w:val="nil"/>
                          <w:right w:val="nil"/>
                        </w:tcBorders>
                        <w:vAlign w:val="bottom"/>
                      </w:tcPr>
                      <w:p w14:paraId="7D7750E6" w14:textId="1E2AA33E" w:rsidR="00671029" w:rsidRPr="00846EEE" w:rsidRDefault="00671029" w:rsidP="00671029">
                        <w:pPr>
                          <w:pStyle w:val="DecimalAligned"/>
                          <w:widowControl w:val="0"/>
                          <w:tabs>
                            <w:tab w:val="clear" w:pos="360"/>
                            <w:tab w:val="left" w:pos="352"/>
                            <w:tab w:val="left" w:pos="464"/>
                          </w:tabs>
                          <w:autoSpaceDE w:val="0"/>
                          <w:autoSpaceDN w:val="0"/>
                          <w:adjustRightInd w:val="0"/>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bCs/>
                            <w:color w:val="000000"/>
                            <w:sz w:val="18"/>
                            <w:szCs w:val="18"/>
                            <w:lang w:bidi="en-US"/>
                          </w:rPr>
                          <w:t>As at</w:t>
                        </w:r>
                        <w:r w:rsidRPr="00846EEE">
                          <w:rPr>
                            <w:rFonts w:asciiTheme="minorHAnsi" w:hAnsiTheme="minorHAnsi" w:cstheme="minorHAnsi"/>
                            <w:bCs/>
                            <w:color w:val="000000"/>
                            <w:sz w:val="18"/>
                            <w:szCs w:val="18"/>
                            <w:lang w:bidi="en-US"/>
                          </w:rPr>
                          <w:br/>
                          <w:t>31 Jan</w:t>
                        </w:r>
                        <w:r>
                          <w:rPr>
                            <w:rFonts w:asciiTheme="minorHAnsi" w:hAnsiTheme="minorHAnsi" w:cstheme="minorHAnsi"/>
                            <w:bCs/>
                            <w:color w:val="000000"/>
                            <w:sz w:val="18"/>
                            <w:szCs w:val="18"/>
                            <w:lang w:bidi="en-US"/>
                          </w:rPr>
                          <w:t>uary</w:t>
                        </w:r>
                        <w:r w:rsidRPr="00846EEE">
                          <w:rPr>
                            <w:rFonts w:asciiTheme="minorHAnsi" w:hAnsiTheme="minorHAnsi" w:cstheme="minorHAnsi"/>
                            <w:bCs/>
                            <w:color w:val="000000"/>
                            <w:sz w:val="18"/>
                            <w:szCs w:val="18"/>
                            <w:lang w:bidi="en-US"/>
                          </w:rPr>
                          <w:t xml:space="preserve"> 2022</w:t>
                        </w:r>
                      </w:p>
                    </w:tc>
                    <w:tc>
                      <w:tcPr>
                        <w:tcW w:w="1538" w:type="dxa"/>
                        <w:tcBorders>
                          <w:top w:val="nil"/>
                          <w:left w:val="nil"/>
                          <w:bottom w:val="nil"/>
                          <w:right w:val="nil"/>
                        </w:tcBorders>
                        <w:shd w:val="clear" w:color="auto" w:fill="auto"/>
                        <w:vAlign w:val="bottom"/>
                      </w:tcPr>
                      <w:p w14:paraId="62AE99C6" w14:textId="77777777" w:rsidR="00671029" w:rsidRPr="00846EEE" w:rsidRDefault="00671029" w:rsidP="00671029">
                        <w:pPr>
                          <w:spacing w:after="0" w:line="240" w:lineRule="auto"/>
                          <w:jc w:val="right"/>
                          <w:rPr>
                            <w:rFonts w:asciiTheme="minorHAnsi" w:hAnsiTheme="minorHAnsi" w:cstheme="minorHAnsi"/>
                            <w:bCs/>
                            <w:color w:val="000000"/>
                            <w:sz w:val="18"/>
                            <w:szCs w:val="18"/>
                            <w:lang w:val="en-US" w:bidi="en-US"/>
                          </w:rPr>
                        </w:pPr>
                        <w:r w:rsidRPr="00846EEE">
                          <w:rPr>
                            <w:rFonts w:asciiTheme="minorHAnsi" w:hAnsiTheme="minorHAnsi" w:cstheme="minorHAnsi"/>
                            <w:bCs/>
                            <w:color w:val="000000"/>
                            <w:sz w:val="18"/>
                            <w:szCs w:val="18"/>
                            <w:lang w:val="en-US" w:bidi="en-US"/>
                          </w:rPr>
                          <w:t xml:space="preserve">As at </w:t>
                        </w:r>
                      </w:p>
                      <w:p w14:paraId="7CEFE73B" w14:textId="76917866" w:rsidR="00671029" w:rsidRPr="00846EEE" w:rsidRDefault="00671029" w:rsidP="00671029">
                        <w:pPr>
                          <w:spacing w:after="0" w:line="240" w:lineRule="auto"/>
                          <w:jc w:val="right"/>
                          <w:rPr>
                            <w:rFonts w:asciiTheme="minorHAnsi" w:hAnsiTheme="minorHAnsi" w:cstheme="minorHAnsi"/>
                            <w:bCs/>
                            <w:color w:val="000000"/>
                            <w:sz w:val="18"/>
                            <w:szCs w:val="18"/>
                            <w:lang w:val="en-US" w:bidi="en-US"/>
                          </w:rPr>
                        </w:pPr>
                        <w:r w:rsidRPr="00846EEE">
                          <w:rPr>
                            <w:rFonts w:asciiTheme="minorHAnsi" w:hAnsiTheme="minorHAnsi" w:cstheme="minorHAnsi"/>
                            <w:bCs/>
                            <w:color w:val="000000"/>
                            <w:sz w:val="18"/>
                            <w:szCs w:val="18"/>
                            <w:lang w:bidi="en-US"/>
                          </w:rPr>
                          <w:t>31 Jul</w:t>
                        </w:r>
                        <w:r>
                          <w:rPr>
                            <w:rFonts w:asciiTheme="minorHAnsi" w:hAnsiTheme="minorHAnsi" w:cstheme="minorHAnsi"/>
                            <w:bCs/>
                            <w:color w:val="000000"/>
                            <w:sz w:val="18"/>
                            <w:szCs w:val="18"/>
                            <w:lang w:bidi="en-US"/>
                          </w:rPr>
                          <w:t>y</w:t>
                        </w:r>
                        <w:r w:rsidRPr="00846EEE">
                          <w:rPr>
                            <w:rFonts w:asciiTheme="minorHAnsi" w:hAnsiTheme="minorHAnsi" w:cstheme="minorHAnsi"/>
                            <w:bCs/>
                            <w:color w:val="000000"/>
                            <w:sz w:val="18"/>
                            <w:szCs w:val="18"/>
                            <w:lang w:bidi="en-US"/>
                          </w:rPr>
                          <w:t xml:space="preserve"> 2022</w:t>
                        </w:r>
                      </w:p>
                    </w:tc>
                  </w:tr>
                  <w:tr w:rsidR="00671029" w:rsidRPr="00551D5A" w14:paraId="419A2BD0" w14:textId="77777777" w:rsidTr="00997EF7">
                    <w:tc>
                      <w:tcPr>
                        <w:tcW w:w="4857" w:type="dxa"/>
                        <w:tcBorders>
                          <w:top w:val="nil"/>
                          <w:left w:val="nil"/>
                          <w:bottom w:val="single" w:sz="4" w:space="0" w:color="auto"/>
                          <w:right w:val="nil"/>
                        </w:tcBorders>
                        <w:shd w:val="clear" w:color="auto" w:fill="auto"/>
                      </w:tcPr>
                      <w:p w14:paraId="6C4E295D" w14:textId="77777777" w:rsidR="00671029" w:rsidRPr="00846EEE" w:rsidRDefault="00671029" w:rsidP="00671029">
                        <w:pPr>
                          <w:spacing w:after="0" w:line="240" w:lineRule="auto"/>
                          <w:rPr>
                            <w:rFonts w:asciiTheme="minorHAnsi" w:hAnsiTheme="minorHAnsi" w:cstheme="minorHAnsi"/>
                            <w:b/>
                            <w:bCs/>
                            <w:color w:val="000000"/>
                            <w:sz w:val="18"/>
                            <w:szCs w:val="18"/>
                            <w:lang w:val="en-US" w:bidi="en-US"/>
                          </w:rPr>
                        </w:pPr>
                      </w:p>
                    </w:tc>
                    <w:tc>
                      <w:tcPr>
                        <w:tcW w:w="1537" w:type="dxa"/>
                        <w:tcBorders>
                          <w:top w:val="nil"/>
                          <w:left w:val="nil"/>
                          <w:bottom w:val="single" w:sz="4" w:space="0" w:color="auto"/>
                          <w:right w:val="nil"/>
                        </w:tcBorders>
                        <w:shd w:val="clear" w:color="auto" w:fill="auto"/>
                        <w:vAlign w:val="center"/>
                      </w:tcPr>
                      <w:p w14:paraId="0D95B96B" w14:textId="5417D5B6" w:rsidR="00671029" w:rsidRPr="00846EEE" w:rsidRDefault="00671029" w:rsidP="00671029">
                        <w:pPr>
                          <w:pStyle w:val="DecimalAligned"/>
                          <w:widowControl w:val="0"/>
                          <w:tabs>
                            <w:tab w:val="clear" w:pos="360"/>
                            <w:tab w:val="left" w:pos="352"/>
                            <w:tab w:val="left" w:pos="464"/>
                          </w:tabs>
                          <w:autoSpaceDE w:val="0"/>
                          <w:autoSpaceDN w:val="0"/>
                          <w:adjustRightInd w:val="0"/>
                          <w:spacing w:after="0" w:line="240" w:lineRule="auto"/>
                          <w:jc w:val="right"/>
                          <w:rPr>
                            <w:rFonts w:asciiTheme="minorHAnsi" w:hAnsiTheme="minorHAnsi" w:cstheme="minorHAnsi"/>
                            <w:b/>
                            <w:bCs/>
                            <w:color w:val="000000"/>
                            <w:sz w:val="18"/>
                            <w:szCs w:val="18"/>
                          </w:rPr>
                        </w:pPr>
                        <w:r w:rsidRPr="00846EEE">
                          <w:rPr>
                            <w:rFonts w:asciiTheme="minorHAnsi" w:hAnsiTheme="minorHAnsi" w:cstheme="minorHAnsi"/>
                            <w:b/>
                            <w:bCs/>
                            <w:sz w:val="18"/>
                            <w:szCs w:val="18"/>
                          </w:rPr>
                          <w:t>£’000</w:t>
                        </w:r>
                      </w:p>
                    </w:tc>
                    <w:tc>
                      <w:tcPr>
                        <w:tcW w:w="1537" w:type="dxa"/>
                        <w:tcBorders>
                          <w:top w:val="nil"/>
                          <w:left w:val="nil"/>
                          <w:bottom w:val="single" w:sz="4" w:space="0" w:color="auto"/>
                          <w:right w:val="nil"/>
                        </w:tcBorders>
                        <w:vAlign w:val="center"/>
                      </w:tcPr>
                      <w:p w14:paraId="43F6EF40" w14:textId="316E780A" w:rsidR="00671029" w:rsidRPr="00846EEE" w:rsidRDefault="00671029" w:rsidP="00671029">
                        <w:pPr>
                          <w:pStyle w:val="DecimalAligned"/>
                          <w:widowControl w:val="0"/>
                          <w:tabs>
                            <w:tab w:val="clear" w:pos="360"/>
                            <w:tab w:val="left" w:pos="352"/>
                            <w:tab w:val="left" w:pos="464"/>
                          </w:tabs>
                          <w:autoSpaceDE w:val="0"/>
                          <w:autoSpaceDN w:val="0"/>
                          <w:adjustRightInd w:val="0"/>
                          <w:spacing w:after="0" w:line="240" w:lineRule="auto"/>
                          <w:jc w:val="right"/>
                          <w:rPr>
                            <w:rFonts w:asciiTheme="minorHAnsi" w:hAnsiTheme="minorHAnsi" w:cstheme="minorHAnsi"/>
                            <w:bCs/>
                            <w:color w:val="000000"/>
                            <w:sz w:val="18"/>
                            <w:szCs w:val="18"/>
                          </w:rPr>
                        </w:pPr>
                        <w:r w:rsidRPr="00002756">
                          <w:rPr>
                            <w:rFonts w:asciiTheme="minorHAnsi" w:hAnsiTheme="minorHAnsi" w:cstheme="minorHAnsi"/>
                            <w:sz w:val="18"/>
                            <w:szCs w:val="18"/>
                          </w:rPr>
                          <w:t>£’000</w:t>
                        </w:r>
                      </w:p>
                    </w:tc>
                    <w:tc>
                      <w:tcPr>
                        <w:tcW w:w="1538" w:type="dxa"/>
                        <w:tcBorders>
                          <w:top w:val="nil"/>
                          <w:left w:val="nil"/>
                          <w:bottom w:val="single" w:sz="4" w:space="0" w:color="auto"/>
                          <w:right w:val="nil"/>
                        </w:tcBorders>
                        <w:shd w:val="clear" w:color="auto" w:fill="auto"/>
                        <w:vAlign w:val="center"/>
                      </w:tcPr>
                      <w:p w14:paraId="7345389F" w14:textId="75FFF810" w:rsidR="00671029" w:rsidRPr="00846EEE" w:rsidRDefault="00671029" w:rsidP="00671029">
                        <w:pPr>
                          <w:pStyle w:val="DecimalAligned"/>
                          <w:widowControl w:val="0"/>
                          <w:tabs>
                            <w:tab w:val="clear" w:pos="360"/>
                            <w:tab w:val="left" w:pos="352"/>
                            <w:tab w:val="left" w:pos="464"/>
                          </w:tabs>
                          <w:autoSpaceDE w:val="0"/>
                          <w:autoSpaceDN w:val="0"/>
                          <w:adjustRightInd w:val="0"/>
                          <w:spacing w:after="0" w:line="240" w:lineRule="auto"/>
                          <w:jc w:val="right"/>
                          <w:rPr>
                            <w:rFonts w:asciiTheme="minorHAnsi" w:hAnsiTheme="minorHAnsi" w:cstheme="minorHAnsi"/>
                            <w:color w:val="000000"/>
                            <w:sz w:val="18"/>
                            <w:szCs w:val="18"/>
                          </w:rPr>
                        </w:pPr>
                        <w:r w:rsidRPr="00002756">
                          <w:rPr>
                            <w:rFonts w:asciiTheme="minorHAnsi" w:hAnsiTheme="minorHAnsi" w:cstheme="minorHAnsi"/>
                            <w:sz w:val="18"/>
                            <w:szCs w:val="18"/>
                          </w:rPr>
                          <w:t>£’000</w:t>
                        </w:r>
                      </w:p>
                    </w:tc>
                  </w:tr>
                  <w:tr w:rsidR="006F0BD3" w:rsidRPr="00551D5A" w14:paraId="48FAB5D1" w14:textId="77777777" w:rsidTr="00997EF7">
                    <w:trPr>
                      <w:trHeight w:val="521"/>
                    </w:trPr>
                    <w:tc>
                      <w:tcPr>
                        <w:tcW w:w="4857" w:type="dxa"/>
                        <w:tcBorders>
                          <w:top w:val="single" w:sz="4" w:space="0" w:color="auto"/>
                          <w:bottom w:val="single" w:sz="4" w:space="0" w:color="auto"/>
                        </w:tcBorders>
                        <w:shd w:val="clear" w:color="auto" w:fill="auto"/>
                      </w:tcPr>
                      <w:p w14:paraId="3C426822" w14:textId="157D8976" w:rsidR="00745B1C" w:rsidRPr="00846EEE" w:rsidRDefault="006F0BD3" w:rsidP="006F0BD3">
                        <w:pPr>
                          <w:spacing w:after="0" w:line="240" w:lineRule="auto"/>
                          <w:rPr>
                            <w:rFonts w:asciiTheme="minorHAnsi" w:hAnsiTheme="minorHAnsi" w:cstheme="minorHAnsi"/>
                            <w:color w:val="000000"/>
                            <w:sz w:val="18"/>
                            <w:szCs w:val="18"/>
                            <w:lang w:val="en-US" w:bidi="en-US"/>
                          </w:rPr>
                        </w:pPr>
                        <w:r w:rsidRPr="00846EEE">
                          <w:rPr>
                            <w:rFonts w:asciiTheme="minorHAnsi" w:hAnsiTheme="minorHAnsi" w:cstheme="minorHAnsi"/>
                            <w:color w:val="000000"/>
                            <w:sz w:val="18"/>
                            <w:szCs w:val="18"/>
                            <w:lang w:val="en-US" w:bidi="en-US"/>
                          </w:rPr>
                          <w:t>Trade and other payables</w:t>
                        </w:r>
                      </w:p>
                      <w:p w14:paraId="0434E732" w14:textId="77777777" w:rsidR="006F0BD3" w:rsidRPr="00846EEE" w:rsidRDefault="006F0BD3" w:rsidP="006F0BD3">
                        <w:pPr>
                          <w:spacing w:after="0" w:line="240" w:lineRule="auto"/>
                          <w:rPr>
                            <w:rFonts w:asciiTheme="minorHAnsi" w:hAnsiTheme="minorHAnsi" w:cstheme="minorHAnsi"/>
                            <w:color w:val="000000"/>
                            <w:sz w:val="18"/>
                            <w:szCs w:val="18"/>
                            <w:lang w:val="en-US" w:bidi="en-US"/>
                          </w:rPr>
                        </w:pPr>
                        <w:r w:rsidRPr="00846EEE">
                          <w:rPr>
                            <w:rFonts w:asciiTheme="minorHAnsi" w:hAnsiTheme="minorHAnsi" w:cstheme="minorHAnsi"/>
                            <w:color w:val="000000"/>
                            <w:sz w:val="18"/>
                            <w:szCs w:val="18"/>
                            <w:lang w:val="en-US" w:bidi="en-US"/>
                          </w:rPr>
                          <w:t>Other taxes and social security not classified as financial instruments</w:t>
                        </w:r>
                      </w:p>
                    </w:tc>
                    <w:tc>
                      <w:tcPr>
                        <w:tcW w:w="1537" w:type="dxa"/>
                        <w:tcBorders>
                          <w:top w:val="single" w:sz="4" w:space="0" w:color="auto"/>
                          <w:bottom w:val="single" w:sz="4" w:space="0" w:color="auto"/>
                        </w:tcBorders>
                        <w:shd w:val="clear" w:color="auto" w:fill="auto"/>
                      </w:tcPr>
                      <w:p w14:paraId="437F0AF5" w14:textId="6F2F8D5D" w:rsidR="006F0BD3" w:rsidRDefault="00327C65" w:rsidP="006F0BD3">
                        <w:pPr>
                          <w:spacing w:after="0" w:line="240" w:lineRule="auto"/>
                          <w:jc w:val="right"/>
                          <w:rPr>
                            <w:rStyle w:val="SubtleEmphasis"/>
                            <w:rFonts w:asciiTheme="minorHAnsi" w:hAnsiTheme="minorHAnsi" w:cstheme="minorHAnsi"/>
                            <w:b/>
                            <w:i w:val="0"/>
                            <w:color w:val="000000"/>
                            <w:sz w:val="18"/>
                            <w:szCs w:val="18"/>
                            <w:lang w:bidi="en-US"/>
                          </w:rPr>
                        </w:pPr>
                        <w:r>
                          <w:rPr>
                            <w:rStyle w:val="SubtleEmphasis"/>
                            <w:rFonts w:asciiTheme="minorHAnsi" w:hAnsiTheme="minorHAnsi" w:cstheme="minorHAnsi"/>
                            <w:b/>
                            <w:i w:val="0"/>
                            <w:color w:val="000000"/>
                            <w:sz w:val="18"/>
                            <w:szCs w:val="18"/>
                            <w:lang w:bidi="en-US"/>
                          </w:rPr>
                          <w:t>27,</w:t>
                        </w:r>
                        <w:r w:rsidR="00D71434">
                          <w:rPr>
                            <w:rStyle w:val="SubtleEmphasis"/>
                            <w:rFonts w:asciiTheme="minorHAnsi" w:hAnsiTheme="minorHAnsi" w:cstheme="minorHAnsi"/>
                            <w:b/>
                            <w:i w:val="0"/>
                            <w:color w:val="000000"/>
                            <w:sz w:val="18"/>
                            <w:szCs w:val="18"/>
                            <w:lang w:bidi="en-US"/>
                          </w:rPr>
                          <w:t>835</w:t>
                        </w:r>
                      </w:p>
                      <w:p w14:paraId="266B0A87" w14:textId="0E4F1BBB" w:rsidR="00327C65" w:rsidRPr="00846EEE" w:rsidRDefault="00327C65" w:rsidP="006F0BD3">
                        <w:pPr>
                          <w:spacing w:after="0" w:line="240" w:lineRule="auto"/>
                          <w:jc w:val="right"/>
                          <w:rPr>
                            <w:rStyle w:val="SubtleEmphasis"/>
                            <w:rFonts w:asciiTheme="minorHAnsi" w:hAnsiTheme="minorHAnsi" w:cstheme="minorHAnsi"/>
                            <w:b/>
                            <w:i w:val="0"/>
                            <w:color w:val="000000"/>
                            <w:sz w:val="18"/>
                            <w:szCs w:val="18"/>
                            <w:lang w:bidi="en-US"/>
                          </w:rPr>
                        </w:pPr>
                        <w:r>
                          <w:rPr>
                            <w:rStyle w:val="SubtleEmphasis"/>
                            <w:rFonts w:asciiTheme="minorHAnsi" w:hAnsiTheme="minorHAnsi" w:cstheme="minorHAnsi"/>
                            <w:b/>
                            <w:i w:val="0"/>
                            <w:color w:val="000000"/>
                            <w:sz w:val="18"/>
                            <w:szCs w:val="18"/>
                            <w:lang w:bidi="en-US"/>
                          </w:rPr>
                          <w:t>3,5</w:t>
                        </w:r>
                        <w:r w:rsidR="00D71434">
                          <w:rPr>
                            <w:rStyle w:val="SubtleEmphasis"/>
                            <w:rFonts w:asciiTheme="minorHAnsi" w:hAnsiTheme="minorHAnsi" w:cstheme="minorHAnsi"/>
                            <w:b/>
                            <w:i w:val="0"/>
                            <w:color w:val="000000"/>
                            <w:sz w:val="18"/>
                            <w:szCs w:val="18"/>
                            <w:lang w:bidi="en-US"/>
                          </w:rPr>
                          <w:t>41</w:t>
                        </w:r>
                      </w:p>
                    </w:tc>
                    <w:tc>
                      <w:tcPr>
                        <w:tcW w:w="1537" w:type="dxa"/>
                        <w:tcBorders>
                          <w:top w:val="single" w:sz="4" w:space="0" w:color="auto"/>
                        </w:tcBorders>
                      </w:tcPr>
                      <w:p w14:paraId="722D96E5" w14:textId="77777777" w:rsidR="006F0BD3" w:rsidRPr="00846EEE" w:rsidRDefault="006F0BD3" w:rsidP="006F0BD3">
                        <w:pPr>
                          <w:spacing w:after="0" w:line="240" w:lineRule="auto"/>
                          <w:jc w:val="right"/>
                          <w:rPr>
                            <w:rStyle w:val="SubtleEmphasis"/>
                            <w:rFonts w:asciiTheme="minorHAnsi" w:hAnsiTheme="minorHAnsi" w:cstheme="minorHAnsi"/>
                            <w:bCs/>
                            <w:i w:val="0"/>
                            <w:color w:val="000000"/>
                            <w:sz w:val="18"/>
                            <w:szCs w:val="18"/>
                            <w:lang w:bidi="en-US"/>
                          </w:rPr>
                        </w:pPr>
                        <w:r w:rsidRPr="00846EEE">
                          <w:rPr>
                            <w:rStyle w:val="SubtleEmphasis"/>
                            <w:rFonts w:asciiTheme="minorHAnsi" w:hAnsiTheme="minorHAnsi" w:cstheme="minorHAnsi"/>
                            <w:bCs/>
                            <w:i w:val="0"/>
                            <w:color w:val="000000"/>
                            <w:sz w:val="18"/>
                            <w:szCs w:val="18"/>
                            <w:lang w:bidi="en-US"/>
                          </w:rPr>
                          <w:t>26,996</w:t>
                        </w:r>
                      </w:p>
                      <w:p w14:paraId="022DF518" w14:textId="629075E5" w:rsidR="006F0BD3" w:rsidRPr="00846EEE" w:rsidRDefault="006F0BD3" w:rsidP="006F0BD3">
                        <w:pPr>
                          <w:spacing w:after="0" w:line="240" w:lineRule="auto"/>
                          <w:jc w:val="right"/>
                          <w:rPr>
                            <w:rStyle w:val="SubtleEmphasis"/>
                            <w:rFonts w:asciiTheme="minorHAnsi" w:hAnsiTheme="minorHAnsi" w:cstheme="minorHAnsi"/>
                            <w:bCs/>
                            <w:i w:val="0"/>
                            <w:color w:val="000000"/>
                            <w:sz w:val="18"/>
                            <w:szCs w:val="18"/>
                            <w:lang w:bidi="en-US"/>
                          </w:rPr>
                        </w:pPr>
                        <w:r w:rsidRPr="00846EEE">
                          <w:rPr>
                            <w:rStyle w:val="SubtleEmphasis"/>
                            <w:rFonts w:asciiTheme="minorHAnsi" w:hAnsiTheme="minorHAnsi" w:cstheme="minorHAnsi"/>
                            <w:bCs/>
                            <w:i w:val="0"/>
                            <w:color w:val="000000"/>
                            <w:sz w:val="18"/>
                            <w:szCs w:val="18"/>
                            <w:lang w:bidi="en-US"/>
                          </w:rPr>
                          <w:t>2,690</w:t>
                        </w:r>
                      </w:p>
                    </w:tc>
                    <w:tc>
                      <w:tcPr>
                        <w:tcW w:w="1538" w:type="dxa"/>
                        <w:tcBorders>
                          <w:top w:val="single" w:sz="4" w:space="0" w:color="auto"/>
                        </w:tcBorders>
                        <w:shd w:val="clear" w:color="auto" w:fill="auto"/>
                      </w:tcPr>
                      <w:p w14:paraId="4829B8A1" w14:textId="0F85D1E0" w:rsidR="006F0BD3" w:rsidRDefault="007C0C67" w:rsidP="006F0BD3">
                        <w:pPr>
                          <w:spacing w:after="0" w:line="240" w:lineRule="auto"/>
                          <w:jc w:val="right"/>
                          <w:rPr>
                            <w:rFonts w:asciiTheme="minorHAnsi" w:hAnsiTheme="minorHAnsi" w:cstheme="minorHAnsi"/>
                            <w:color w:val="000000"/>
                            <w:sz w:val="18"/>
                            <w:szCs w:val="18"/>
                            <w:lang w:val="en-US" w:bidi="en-US"/>
                          </w:rPr>
                        </w:pPr>
                        <w:r>
                          <w:rPr>
                            <w:rFonts w:asciiTheme="minorHAnsi" w:hAnsiTheme="minorHAnsi" w:cstheme="minorHAnsi"/>
                            <w:color w:val="000000"/>
                            <w:sz w:val="18"/>
                            <w:szCs w:val="18"/>
                            <w:lang w:val="en-US" w:bidi="en-US"/>
                          </w:rPr>
                          <w:t>28,095</w:t>
                        </w:r>
                      </w:p>
                      <w:p w14:paraId="1BD12D6F" w14:textId="77777777" w:rsidR="00745B1C" w:rsidRDefault="00745B1C" w:rsidP="006F0BD3">
                        <w:pPr>
                          <w:spacing w:after="0" w:line="240" w:lineRule="auto"/>
                          <w:jc w:val="right"/>
                          <w:rPr>
                            <w:rFonts w:asciiTheme="minorHAnsi" w:hAnsiTheme="minorHAnsi" w:cstheme="minorHAnsi"/>
                            <w:color w:val="000000"/>
                            <w:sz w:val="18"/>
                            <w:szCs w:val="18"/>
                            <w:lang w:val="en-US" w:bidi="en-US"/>
                          </w:rPr>
                        </w:pPr>
                      </w:p>
                      <w:p w14:paraId="4838E01E" w14:textId="7078E7F1" w:rsidR="007C0C67" w:rsidRPr="00846EEE" w:rsidRDefault="007C0C67" w:rsidP="006F0BD3">
                        <w:pPr>
                          <w:spacing w:after="0" w:line="240" w:lineRule="auto"/>
                          <w:jc w:val="right"/>
                          <w:rPr>
                            <w:rFonts w:asciiTheme="minorHAnsi" w:hAnsiTheme="minorHAnsi" w:cstheme="minorHAnsi"/>
                            <w:color w:val="000000"/>
                            <w:sz w:val="18"/>
                            <w:szCs w:val="18"/>
                            <w:lang w:val="en-US" w:bidi="en-US"/>
                          </w:rPr>
                        </w:pPr>
                        <w:r>
                          <w:rPr>
                            <w:rFonts w:asciiTheme="minorHAnsi" w:hAnsiTheme="minorHAnsi" w:cstheme="minorHAnsi"/>
                            <w:color w:val="000000"/>
                            <w:sz w:val="18"/>
                            <w:szCs w:val="18"/>
                            <w:lang w:val="en-US" w:bidi="en-US"/>
                          </w:rPr>
                          <w:t>1,549</w:t>
                        </w:r>
                      </w:p>
                    </w:tc>
                  </w:tr>
                  <w:tr w:rsidR="006F0BD3" w:rsidRPr="00551D5A" w14:paraId="13087680" w14:textId="77777777" w:rsidTr="00997EF7">
                    <w:tc>
                      <w:tcPr>
                        <w:tcW w:w="4857" w:type="dxa"/>
                        <w:tcBorders>
                          <w:top w:val="single" w:sz="4" w:space="0" w:color="auto"/>
                          <w:left w:val="nil"/>
                          <w:bottom w:val="double" w:sz="4" w:space="0" w:color="auto"/>
                          <w:right w:val="nil"/>
                        </w:tcBorders>
                        <w:shd w:val="clear" w:color="auto" w:fill="auto"/>
                      </w:tcPr>
                      <w:p w14:paraId="551DE160" w14:textId="45C4E514" w:rsidR="006F0BD3" w:rsidRPr="00846EEE" w:rsidRDefault="006F0BD3" w:rsidP="006F0BD3">
                        <w:pPr>
                          <w:spacing w:after="0" w:line="240" w:lineRule="auto"/>
                          <w:rPr>
                            <w:rFonts w:asciiTheme="minorHAnsi" w:hAnsiTheme="minorHAnsi" w:cstheme="minorHAnsi"/>
                            <w:b/>
                            <w:bCs/>
                            <w:color w:val="000000"/>
                            <w:sz w:val="18"/>
                            <w:szCs w:val="18"/>
                            <w:lang w:val="en-US" w:bidi="en-US"/>
                          </w:rPr>
                        </w:pPr>
                        <w:r w:rsidRPr="00846EEE">
                          <w:rPr>
                            <w:rFonts w:asciiTheme="minorHAnsi" w:hAnsiTheme="minorHAnsi" w:cstheme="minorHAnsi"/>
                            <w:b/>
                            <w:bCs/>
                            <w:color w:val="000000"/>
                            <w:sz w:val="18"/>
                            <w:szCs w:val="18"/>
                            <w:lang w:val="en-US" w:bidi="en-US"/>
                          </w:rPr>
                          <w:t>Trade and other payables</w:t>
                        </w:r>
                      </w:p>
                    </w:tc>
                    <w:tc>
                      <w:tcPr>
                        <w:tcW w:w="1537" w:type="dxa"/>
                        <w:tcBorders>
                          <w:top w:val="single" w:sz="4" w:space="0" w:color="auto"/>
                          <w:left w:val="nil"/>
                          <w:bottom w:val="double" w:sz="4" w:space="0" w:color="auto"/>
                          <w:right w:val="nil"/>
                        </w:tcBorders>
                        <w:shd w:val="clear" w:color="auto" w:fill="auto"/>
                      </w:tcPr>
                      <w:p w14:paraId="765C0088" w14:textId="0BE77AA0" w:rsidR="006F0BD3" w:rsidRPr="00846EEE" w:rsidRDefault="00327C65" w:rsidP="006F0BD3">
                        <w:pPr>
                          <w:pStyle w:val="DecimalAligned"/>
                          <w:spacing w:after="0" w:line="240" w:lineRule="auto"/>
                          <w:jc w:val="right"/>
                          <w:rPr>
                            <w:rFonts w:asciiTheme="minorHAnsi" w:hAnsiTheme="minorHAnsi" w:cstheme="minorHAnsi"/>
                            <w:b/>
                            <w:bCs/>
                            <w:color w:val="000000"/>
                            <w:sz w:val="18"/>
                            <w:szCs w:val="18"/>
                            <w:lang w:bidi="en-US"/>
                          </w:rPr>
                        </w:pPr>
                        <w:r>
                          <w:rPr>
                            <w:rFonts w:asciiTheme="minorHAnsi" w:hAnsiTheme="minorHAnsi" w:cstheme="minorHAnsi"/>
                            <w:b/>
                            <w:bCs/>
                            <w:color w:val="000000"/>
                            <w:sz w:val="18"/>
                            <w:szCs w:val="18"/>
                            <w:lang w:bidi="en-US"/>
                          </w:rPr>
                          <w:t>3</w:t>
                        </w:r>
                        <w:r w:rsidR="00D71434">
                          <w:rPr>
                            <w:rFonts w:asciiTheme="minorHAnsi" w:hAnsiTheme="minorHAnsi" w:cstheme="minorHAnsi"/>
                            <w:b/>
                            <w:bCs/>
                            <w:color w:val="000000"/>
                            <w:sz w:val="18"/>
                            <w:szCs w:val="18"/>
                            <w:lang w:bidi="en-US"/>
                          </w:rPr>
                          <w:t>1,376</w:t>
                        </w:r>
                      </w:p>
                    </w:tc>
                    <w:tc>
                      <w:tcPr>
                        <w:tcW w:w="1537" w:type="dxa"/>
                        <w:tcBorders>
                          <w:top w:val="single" w:sz="4" w:space="0" w:color="auto"/>
                          <w:left w:val="nil"/>
                          <w:bottom w:val="double" w:sz="4" w:space="0" w:color="auto"/>
                          <w:right w:val="nil"/>
                        </w:tcBorders>
                      </w:tcPr>
                      <w:p w14:paraId="428D4762" w14:textId="4173E8FA" w:rsidR="006F0BD3" w:rsidRPr="00846EEE" w:rsidRDefault="006F0BD3" w:rsidP="006F0BD3">
                        <w:pPr>
                          <w:pStyle w:val="DecimalAligned"/>
                          <w:spacing w:after="0" w:line="240" w:lineRule="auto"/>
                          <w:jc w:val="right"/>
                          <w:rPr>
                            <w:rFonts w:asciiTheme="minorHAnsi" w:hAnsiTheme="minorHAnsi" w:cstheme="minorHAnsi"/>
                            <w:bCs/>
                            <w:color w:val="000000"/>
                            <w:sz w:val="18"/>
                            <w:szCs w:val="18"/>
                            <w:lang w:bidi="en-US"/>
                          </w:rPr>
                        </w:pPr>
                        <w:r w:rsidRPr="00846EEE">
                          <w:rPr>
                            <w:rFonts w:asciiTheme="minorHAnsi" w:hAnsiTheme="minorHAnsi" w:cstheme="minorHAnsi"/>
                            <w:bCs/>
                            <w:color w:val="000000"/>
                            <w:sz w:val="18"/>
                            <w:szCs w:val="18"/>
                            <w:lang w:bidi="en-US"/>
                          </w:rPr>
                          <w:t>29,686</w:t>
                        </w:r>
                      </w:p>
                    </w:tc>
                    <w:tc>
                      <w:tcPr>
                        <w:tcW w:w="1538" w:type="dxa"/>
                        <w:tcBorders>
                          <w:top w:val="single" w:sz="4" w:space="0" w:color="auto"/>
                          <w:left w:val="nil"/>
                          <w:bottom w:val="double" w:sz="4" w:space="0" w:color="auto"/>
                          <w:right w:val="nil"/>
                        </w:tcBorders>
                        <w:shd w:val="clear" w:color="auto" w:fill="auto"/>
                      </w:tcPr>
                      <w:p w14:paraId="40F85CAF" w14:textId="5926F06F" w:rsidR="006F0BD3" w:rsidRPr="00846EEE" w:rsidRDefault="007C0C67" w:rsidP="006F0BD3">
                        <w:pPr>
                          <w:pStyle w:val="DecimalAligned"/>
                          <w:spacing w:after="0" w:line="240" w:lineRule="auto"/>
                          <w:jc w:val="right"/>
                          <w:rPr>
                            <w:rFonts w:asciiTheme="minorHAnsi" w:hAnsiTheme="minorHAnsi" w:cstheme="minorHAnsi"/>
                            <w:bCs/>
                            <w:color w:val="000000"/>
                            <w:sz w:val="18"/>
                            <w:szCs w:val="18"/>
                            <w:lang w:bidi="en-US"/>
                          </w:rPr>
                        </w:pPr>
                        <w:r>
                          <w:rPr>
                            <w:rFonts w:asciiTheme="minorHAnsi" w:hAnsiTheme="minorHAnsi" w:cstheme="minorHAnsi"/>
                            <w:bCs/>
                            <w:color w:val="000000"/>
                            <w:sz w:val="18"/>
                            <w:szCs w:val="18"/>
                            <w:lang w:bidi="en-US"/>
                          </w:rPr>
                          <w:t>29,644</w:t>
                        </w:r>
                      </w:p>
                    </w:tc>
                  </w:tr>
                </w:tbl>
                <w:p w14:paraId="0D0ADBDC" w14:textId="77777777" w:rsidR="002B0E71" w:rsidRDefault="002B0E71" w:rsidP="0047121F">
                  <w:pPr>
                    <w:pStyle w:val="DecimalAligned"/>
                    <w:widowControl w:val="0"/>
                    <w:tabs>
                      <w:tab w:val="clear" w:pos="360"/>
                      <w:tab w:val="left" w:pos="352"/>
                      <w:tab w:val="left" w:pos="464"/>
                    </w:tabs>
                    <w:autoSpaceDE w:val="0"/>
                    <w:autoSpaceDN w:val="0"/>
                    <w:adjustRightInd w:val="0"/>
                    <w:spacing w:after="0" w:line="240" w:lineRule="auto"/>
                    <w:jc w:val="both"/>
                    <w:rPr>
                      <w:rFonts w:asciiTheme="minorHAnsi" w:hAnsiTheme="minorHAnsi" w:cstheme="minorHAnsi"/>
                      <w:b/>
                      <w:color w:val="000000"/>
                      <w:sz w:val="18"/>
                      <w:szCs w:val="18"/>
                      <w:lang w:bidi="en-US"/>
                    </w:rPr>
                  </w:pPr>
                </w:p>
                <w:p w14:paraId="6CECA01C" w14:textId="5A79C86D" w:rsidR="00413481" w:rsidRPr="00846EEE" w:rsidRDefault="005A3FC6" w:rsidP="0047121F">
                  <w:pPr>
                    <w:pStyle w:val="DecimalAligned"/>
                    <w:widowControl w:val="0"/>
                    <w:tabs>
                      <w:tab w:val="clear" w:pos="360"/>
                      <w:tab w:val="left" w:pos="352"/>
                      <w:tab w:val="left" w:pos="464"/>
                    </w:tabs>
                    <w:autoSpaceDE w:val="0"/>
                    <w:autoSpaceDN w:val="0"/>
                    <w:adjustRightInd w:val="0"/>
                    <w:spacing w:after="0" w:line="240" w:lineRule="auto"/>
                    <w:jc w:val="both"/>
                    <w:rPr>
                      <w:rFonts w:asciiTheme="minorHAnsi" w:hAnsiTheme="minorHAnsi" w:cstheme="minorHAnsi"/>
                      <w:b/>
                      <w:color w:val="000000"/>
                      <w:sz w:val="18"/>
                      <w:szCs w:val="18"/>
                      <w:lang w:bidi="en-US"/>
                    </w:rPr>
                  </w:pPr>
                  <w:r w:rsidRPr="00846EEE">
                    <w:rPr>
                      <w:rFonts w:asciiTheme="minorHAnsi" w:hAnsiTheme="minorHAnsi" w:cstheme="minorHAnsi"/>
                      <w:b/>
                      <w:color w:val="000000"/>
                      <w:sz w:val="18"/>
                      <w:szCs w:val="18"/>
                      <w:lang w:bidi="en-US"/>
                    </w:rPr>
                    <w:t>Derivative financial instruments – Forward contracts</w:t>
                  </w:r>
                </w:p>
                <w:p w14:paraId="4B411E99" w14:textId="75F89F97" w:rsidR="002B0E71" w:rsidRPr="00997EF7" w:rsidRDefault="0024431F" w:rsidP="0047121F">
                  <w:pPr>
                    <w:pStyle w:val="DecimalAligned"/>
                    <w:widowControl w:val="0"/>
                    <w:tabs>
                      <w:tab w:val="clear" w:pos="360"/>
                      <w:tab w:val="left" w:pos="352"/>
                      <w:tab w:val="left" w:pos="464"/>
                    </w:tabs>
                    <w:autoSpaceDE w:val="0"/>
                    <w:autoSpaceDN w:val="0"/>
                    <w:adjustRightInd w:val="0"/>
                    <w:spacing w:after="0" w:line="240" w:lineRule="auto"/>
                    <w:jc w:val="both"/>
                    <w:rPr>
                      <w:rFonts w:asciiTheme="minorHAnsi" w:hAnsiTheme="minorHAnsi" w:cstheme="minorHAnsi"/>
                      <w:color w:val="000000"/>
                      <w:sz w:val="18"/>
                      <w:szCs w:val="18"/>
                    </w:rPr>
                  </w:pPr>
                  <w:r w:rsidRPr="00997EF7">
                    <w:rPr>
                      <w:rFonts w:asciiTheme="minorHAnsi" w:hAnsiTheme="minorHAnsi" w:cstheme="minorHAnsi"/>
                      <w:color w:val="000000"/>
                      <w:sz w:val="18"/>
                      <w:szCs w:val="18"/>
                    </w:rPr>
                    <w:t xml:space="preserve">The </w:t>
                  </w:r>
                  <w:r w:rsidR="00C11DE8" w:rsidRPr="00997EF7">
                    <w:rPr>
                      <w:rFonts w:asciiTheme="minorHAnsi" w:hAnsiTheme="minorHAnsi" w:cstheme="minorHAnsi"/>
                      <w:color w:val="000000"/>
                      <w:sz w:val="18"/>
                      <w:szCs w:val="18"/>
                    </w:rPr>
                    <w:t>G</w:t>
                  </w:r>
                  <w:r w:rsidRPr="00997EF7">
                    <w:rPr>
                      <w:rFonts w:asciiTheme="minorHAnsi" w:hAnsiTheme="minorHAnsi" w:cstheme="minorHAnsi"/>
                      <w:color w:val="000000"/>
                      <w:sz w:val="18"/>
                      <w:szCs w:val="18"/>
                    </w:rPr>
                    <w:t xml:space="preserve">roup mitigates the exchange rate risk for certain foreign currency trade debtors and creditors by </w:t>
                  </w:r>
                  <w:proofErr w:type="gramStart"/>
                  <w:r w:rsidRPr="00997EF7">
                    <w:rPr>
                      <w:rFonts w:asciiTheme="minorHAnsi" w:hAnsiTheme="minorHAnsi" w:cstheme="minorHAnsi"/>
                      <w:color w:val="000000"/>
                      <w:sz w:val="18"/>
                      <w:szCs w:val="18"/>
                    </w:rPr>
                    <w:t>entering into</w:t>
                  </w:r>
                  <w:proofErr w:type="gramEnd"/>
                  <w:r w:rsidRPr="00997EF7">
                    <w:rPr>
                      <w:rFonts w:asciiTheme="minorHAnsi" w:hAnsiTheme="minorHAnsi" w:cstheme="minorHAnsi"/>
                      <w:color w:val="000000"/>
                      <w:sz w:val="18"/>
                      <w:szCs w:val="18"/>
                    </w:rPr>
                    <w:t xml:space="preserve"> forward currency contracts. </w:t>
                  </w:r>
                  <w:proofErr w:type="gramStart"/>
                  <w:r w:rsidR="001739EB" w:rsidRPr="00997EF7">
                    <w:rPr>
                      <w:rFonts w:asciiTheme="minorHAnsi" w:hAnsiTheme="minorHAnsi" w:cstheme="minorHAnsi"/>
                      <w:color w:val="000000"/>
                      <w:sz w:val="18"/>
                      <w:szCs w:val="18"/>
                    </w:rPr>
                    <w:t>At</w:t>
                  </w:r>
                  <w:proofErr w:type="gramEnd"/>
                  <w:r w:rsidR="001739EB" w:rsidRPr="00997EF7">
                    <w:rPr>
                      <w:rFonts w:asciiTheme="minorHAnsi" w:hAnsiTheme="minorHAnsi" w:cstheme="minorHAnsi"/>
                      <w:color w:val="000000"/>
                      <w:sz w:val="18"/>
                      <w:szCs w:val="18"/>
                    </w:rPr>
                    <w:t xml:space="preserve"> 31 January 20</w:t>
                  </w:r>
                  <w:r w:rsidR="0047121F" w:rsidRPr="00997EF7">
                    <w:rPr>
                      <w:rFonts w:asciiTheme="minorHAnsi" w:hAnsiTheme="minorHAnsi" w:cstheme="minorHAnsi"/>
                      <w:color w:val="000000"/>
                      <w:sz w:val="18"/>
                      <w:szCs w:val="18"/>
                    </w:rPr>
                    <w:t>23</w:t>
                  </w:r>
                  <w:r w:rsidR="001739EB" w:rsidRPr="00997EF7">
                    <w:rPr>
                      <w:rFonts w:asciiTheme="minorHAnsi" w:hAnsiTheme="minorHAnsi" w:cstheme="minorHAnsi"/>
                      <w:color w:val="000000"/>
                      <w:sz w:val="18"/>
                      <w:szCs w:val="18"/>
                    </w:rPr>
                    <w:t>, the Group was committed to</w:t>
                  </w:r>
                  <w:r w:rsidR="002B0E71" w:rsidRPr="00997EF7">
                    <w:rPr>
                      <w:rFonts w:asciiTheme="minorHAnsi" w:hAnsiTheme="minorHAnsi" w:cstheme="minorHAnsi"/>
                      <w:color w:val="000000"/>
                      <w:sz w:val="18"/>
                      <w:szCs w:val="18"/>
                    </w:rPr>
                    <w:t>:</w:t>
                  </w:r>
                </w:p>
                <w:p w14:paraId="583C6F15" w14:textId="77777777" w:rsidR="002B0E71" w:rsidRPr="002B0E71" w:rsidRDefault="002B0E71" w:rsidP="002B0E71">
                  <w:pPr>
                    <w:pStyle w:val="Body"/>
                    <w:spacing w:before="0" w:after="0" w:line="240" w:lineRule="auto"/>
                    <w:ind w:left="0"/>
                    <w:jc w:val="both"/>
                    <w:rPr>
                      <w:rFonts w:asciiTheme="minorHAnsi" w:hAnsiTheme="minorHAnsi" w:cstheme="minorHAnsi"/>
                      <w:color w:val="auto"/>
                      <w:sz w:val="18"/>
                      <w:szCs w:val="18"/>
                      <w:lang w:val="en-GB" w:bidi="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093"/>
                    <w:gridCol w:w="1093"/>
                    <w:gridCol w:w="1093"/>
                    <w:gridCol w:w="1093"/>
                    <w:gridCol w:w="1093"/>
                    <w:gridCol w:w="1093"/>
                  </w:tblGrid>
                  <w:tr w:rsidR="007A6902" w:rsidRPr="002B0E71" w14:paraId="5F3A8A03" w14:textId="77777777" w:rsidTr="00997EF7">
                    <w:trPr>
                      <w:trHeight w:val="254"/>
                    </w:trPr>
                    <w:tc>
                      <w:tcPr>
                        <w:tcW w:w="2835" w:type="dxa"/>
                      </w:tcPr>
                      <w:p w14:paraId="217E7011" w14:textId="77777777" w:rsidR="007A6902" w:rsidRPr="00997EF7" w:rsidRDefault="007A6902" w:rsidP="002B0E71">
                        <w:pPr>
                          <w:pStyle w:val="Body"/>
                          <w:spacing w:before="0" w:after="0" w:line="240" w:lineRule="auto"/>
                          <w:ind w:left="0"/>
                          <w:jc w:val="both"/>
                          <w:rPr>
                            <w:rFonts w:asciiTheme="minorHAnsi" w:hAnsiTheme="minorHAnsi" w:cstheme="minorHAnsi"/>
                            <w:color w:val="auto"/>
                            <w:sz w:val="18"/>
                            <w:szCs w:val="18"/>
                            <w:lang w:val="en-GB" w:bidi="en-US"/>
                          </w:rPr>
                        </w:pPr>
                      </w:p>
                    </w:tc>
                    <w:tc>
                      <w:tcPr>
                        <w:tcW w:w="2186" w:type="dxa"/>
                        <w:gridSpan w:val="2"/>
                        <w:vAlign w:val="center"/>
                      </w:tcPr>
                      <w:p w14:paraId="6B1347E7" w14:textId="354C180B" w:rsidR="007A6902" w:rsidRPr="00997EF7" w:rsidRDefault="007A6902" w:rsidP="00997EF7">
                        <w:pPr>
                          <w:pStyle w:val="TableBody"/>
                          <w:spacing w:line="240" w:lineRule="auto"/>
                          <w:ind w:left="0"/>
                          <w:rPr>
                            <w:rFonts w:asciiTheme="minorHAnsi" w:eastAsia="Times New Roman" w:hAnsiTheme="minorHAnsi" w:cstheme="minorHAnsi"/>
                            <w:b/>
                            <w:color w:val="auto"/>
                            <w:sz w:val="18"/>
                            <w:szCs w:val="18"/>
                            <w:lang w:val="en-US" w:eastAsia="en-US"/>
                          </w:rPr>
                        </w:pPr>
                        <w:r>
                          <w:rPr>
                            <w:rFonts w:asciiTheme="minorHAnsi" w:eastAsia="Times New Roman" w:hAnsiTheme="minorHAnsi" w:cstheme="minorHAnsi"/>
                            <w:b/>
                            <w:color w:val="auto"/>
                            <w:sz w:val="18"/>
                            <w:szCs w:val="18"/>
                            <w:lang w:val="en-US" w:eastAsia="en-US"/>
                          </w:rPr>
                          <w:t xml:space="preserve">As </w:t>
                        </w:r>
                        <w:proofErr w:type="gramStart"/>
                        <w:r>
                          <w:rPr>
                            <w:rFonts w:asciiTheme="minorHAnsi" w:eastAsia="Times New Roman" w:hAnsiTheme="minorHAnsi" w:cstheme="minorHAnsi"/>
                            <w:b/>
                            <w:color w:val="auto"/>
                            <w:sz w:val="18"/>
                            <w:szCs w:val="18"/>
                            <w:lang w:val="en-US" w:eastAsia="en-US"/>
                          </w:rPr>
                          <w:t>at</w:t>
                        </w:r>
                        <w:proofErr w:type="gramEnd"/>
                        <w:r>
                          <w:rPr>
                            <w:rFonts w:asciiTheme="minorHAnsi" w:eastAsia="Times New Roman" w:hAnsiTheme="minorHAnsi" w:cstheme="minorHAnsi"/>
                            <w:b/>
                            <w:color w:val="auto"/>
                            <w:sz w:val="18"/>
                            <w:szCs w:val="18"/>
                            <w:lang w:val="en-US" w:eastAsia="en-US"/>
                          </w:rPr>
                          <w:t xml:space="preserve"> 31 January </w:t>
                        </w:r>
                        <w:r w:rsidRPr="00997EF7">
                          <w:rPr>
                            <w:rFonts w:asciiTheme="minorHAnsi" w:eastAsia="Times New Roman" w:hAnsiTheme="minorHAnsi" w:cstheme="minorHAnsi"/>
                            <w:b/>
                            <w:color w:val="auto"/>
                            <w:sz w:val="18"/>
                            <w:szCs w:val="18"/>
                            <w:lang w:val="en-US" w:eastAsia="en-US"/>
                          </w:rPr>
                          <w:t>202</w:t>
                        </w:r>
                        <w:r>
                          <w:rPr>
                            <w:rFonts w:asciiTheme="minorHAnsi" w:eastAsia="Times New Roman" w:hAnsiTheme="minorHAnsi" w:cstheme="minorHAnsi"/>
                            <w:b/>
                            <w:color w:val="auto"/>
                            <w:sz w:val="18"/>
                            <w:szCs w:val="18"/>
                            <w:lang w:val="en-US" w:eastAsia="en-US"/>
                          </w:rPr>
                          <w:t>3</w:t>
                        </w:r>
                      </w:p>
                    </w:tc>
                    <w:tc>
                      <w:tcPr>
                        <w:tcW w:w="2186" w:type="dxa"/>
                        <w:gridSpan w:val="2"/>
                      </w:tcPr>
                      <w:p w14:paraId="7D98F77D" w14:textId="3FCC72A2" w:rsidR="007A6902" w:rsidRPr="002B0E71" w:rsidRDefault="007A6902" w:rsidP="00997EF7">
                        <w:pPr>
                          <w:pStyle w:val="TableBody"/>
                          <w:spacing w:line="240" w:lineRule="auto"/>
                          <w:ind w:left="0"/>
                          <w:rPr>
                            <w:rFonts w:asciiTheme="minorHAnsi" w:eastAsia="Times New Roman" w:hAnsiTheme="minorHAnsi" w:cstheme="minorHAnsi"/>
                            <w:b/>
                            <w:color w:val="auto"/>
                            <w:sz w:val="18"/>
                            <w:szCs w:val="18"/>
                            <w:lang w:val="en-US" w:eastAsia="en-US"/>
                          </w:rPr>
                        </w:pPr>
                        <w:r>
                          <w:rPr>
                            <w:rFonts w:asciiTheme="minorHAnsi" w:eastAsia="Times New Roman" w:hAnsiTheme="minorHAnsi" w:cstheme="minorHAnsi"/>
                            <w:b/>
                            <w:color w:val="auto"/>
                            <w:sz w:val="18"/>
                            <w:szCs w:val="18"/>
                            <w:lang w:val="en-US" w:eastAsia="en-US"/>
                          </w:rPr>
                          <w:t xml:space="preserve">As </w:t>
                        </w:r>
                        <w:proofErr w:type="gramStart"/>
                        <w:r>
                          <w:rPr>
                            <w:rFonts w:asciiTheme="minorHAnsi" w:eastAsia="Times New Roman" w:hAnsiTheme="minorHAnsi" w:cstheme="minorHAnsi"/>
                            <w:b/>
                            <w:color w:val="auto"/>
                            <w:sz w:val="18"/>
                            <w:szCs w:val="18"/>
                            <w:lang w:val="en-US" w:eastAsia="en-US"/>
                          </w:rPr>
                          <w:t>at</w:t>
                        </w:r>
                        <w:proofErr w:type="gramEnd"/>
                        <w:r>
                          <w:rPr>
                            <w:rFonts w:asciiTheme="minorHAnsi" w:eastAsia="Times New Roman" w:hAnsiTheme="minorHAnsi" w:cstheme="minorHAnsi"/>
                            <w:b/>
                            <w:color w:val="auto"/>
                            <w:sz w:val="18"/>
                            <w:szCs w:val="18"/>
                            <w:lang w:val="en-US" w:eastAsia="en-US"/>
                          </w:rPr>
                          <w:t xml:space="preserve"> 31 January 2022</w:t>
                        </w:r>
                      </w:p>
                    </w:tc>
                    <w:tc>
                      <w:tcPr>
                        <w:tcW w:w="2186" w:type="dxa"/>
                        <w:gridSpan w:val="2"/>
                      </w:tcPr>
                      <w:p w14:paraId="5DBA5809" w14:textId="2E0BCD07" w:rsidR="007A6902" w:rsidRPr="00997EF7" w:rsidRDefault="007A6902" w:rsidP="00997EF7">
                        <w:pPr>
                          <w:pStyle w:val="TableBody"/>
                          <w:spacing w:line="240" w:lineRule="auto"/>
                          <w:ind w:left="0"/>
                          <w:rPr>
                            <w:rFonts w:asciiTheme="minorHAnsi" w:eastAsia="Times New Roman" w:hAnsiTheme="minorHAnsi" w:cstheme="minorHAnsi"/>
                            <w:b/>
                            <w:color w:val="auto"/>
                            <w:sz w:val="18"/>
                            <w:szCs w:val="18"/>
                            <w:lang w:val="en-US" w:eastAsia="en-US"/>
                          </w:rPr>
                        </w:pPr>
                        <w:r>
                          <w:rPr>
                            <w:rFonts w:asciiTheme="minorHAnsi" w:eastAsia="Times New Roman" w:hAnsiTheme="minorHAnsi" w:cstheme="minorHAnsi"/>
                            <w:b/>
                            <w:color w:val="auto"/>
                            <w:sz w:val="18"/>
                            <w:szCs w:val="18"/>
                            <w:lang w:val="en-US" w:eastAsia="en-US"/>
                          </w:rPr>
                          <w:t>As 31 July 2022</w:t>
                        </w:r>
                      </w:p>
                    </w:tc>
                  </w:tr>
                  <w:tr w:rsidR="007A6902" w:rsidRPr="002B0E71" w14:paraId="0E130BF1" w14:textId="77777777" w:rsidTr="00997EF7">
                    <w:tc>
                      <w:tcPr>
                        <w:tcW w:w="2835" w:type="dxa"/>
                        <w:tcBorders>
                          <w:bottom w:val="single" w:sz="4" w:space="0" w:color="auto"/>
                        </w:tcBorders>
                      </w:tcPr>
                      <w:p w14:paraId="63CD7CDD" w14:textId="77777777" w:rsidR="007A6902" w:rsidRPr="00997EF7" w:rsidRDefault="007A6902" w:rsidP="007A6902">
                        <w:pPr>
                          <w:pStyle w:val="Body"/>
                          <w:spacing w:before="0" w:after="0" w:line="240" w:lineRule="auto"/>
                          <w:ind w:left="0"/>
                          <w:jc w:val="both"/>
                          <w:rPr>
                            <w:rFonts w:asciiTheme="minorHAnsi" w:hAnsiTheme="minorHAnsi" w:cstheme="minorHAnsi"/>
                            <w:color w:val="auto"/>
                            <w:sz w:val="18"/>
                            <w:szCs w:val="18"/>
                            <w:lang w:val="en-GB" w:bidi="en-US"/>
                          </w:rPr>
                        </w:pPr>
                      </w:p>
                    </w:tc>
                    <w:tc>
                      <w:tcPr>
                        <w:tcW w:w="1093" w:type="dxa"/>
                        <w:tcBorders>
                          <w:bottom w:val="single" w:sz="4" w:space="0" w:color="auto"/>
                        </w:tcBorders>
                      </w:tcPr>
                      <w:p w14:paraId="5D3C1A14" w14:textId="77777777" w:rsidR="007A6902" w:rsidRPr="00997EF7" w:rsidRDefault="007A6902" w:rsidP="007A6902">
                        <w:pPr>
                          <w:pStyle w:val="Body"/>
                          <w:spacing w:before="0" w:after="0" w:line="240" w:lineRule="auto"/>
                          <w:ind w:left="0"/>
                          <w:jc w:val="right"/>
                          <w:rPr>
                            <w:rFonts w:asciiTheme="minorHAnsi" w:hAnsiTheme="minorHAnsi" w:cstheme="minorHAnsi"/>
                            <w:b/>
                            <w:bCs/>
                            <w:color w:val="auto"/>
                            <w:sz w:val="18"/>
                            <w:szCs w:val="18"/>
                            <w:lang w:val="en-GB" w:bidi="en-US"/>
                          </w:rPr>
                        </w:pPr>
                        <w:r w:rsidRPr="00997EF7">
                          <w:rPr>
                            <w:rFonts w:asciiTheme="minorHAnsi" w:hAnsiTheme="minorHAnsi" w:cstheme="minorHAnsi"/>
                            <w:b/>
                            <w:bCs/>
                            <w:color w:val="auto"/>
                            <w:sz w:val="18"/>
                            <w:szCs w:val="18"/>
                            <w:lang w:val="en-GB" w:bidi="en-US"/>
                          </w:rPr>
                          <w:t>Buy</w:t>
                        </w:r>
                      </w:p>
                    </w:tc>
                    <w:tc>
                      <w:tcPr>
                        <w:tcW w:w="1093" w:type="dxa"/>
                        <w:tcBorders>
                          <w:bottom w:val="single" w:sz="4" w:space="0" w:color="auto"/>
                        </w:tcBorders>
                      </w:tcPr>
                      <w:p w14:paraId="65C14B67" w14:textId="77777777" w:rsidR="007A6902" w:rsidRPr="00997EF7" w:rsidRDefault="007A6902" w:rsidP="007A6902">
                        <w:pPr>
                          <w:pStyle w:val="Body"/>
                          <w:spacing w:before="0" w:after="0" w:line="240" w:lineRule="auto"/>
                          <w:ind w:left="0"/>
                          <w:jc w:val="right"/>
                          <w:rPr>
                            <w:rFonts w:asciiTheme="minorHAnsi" w:hAnsiTheme="minorHAnsi" w:cstheme="minorHAnsi"/>
                            <w:b/>
                            <w:bCs/>
                            <w:color w:val="auto"/>
                            <w:sz w:val="18"/>
                            <w:szCs w:val="18"/>
                            <w:lang w:val="en-GB" w:bidi="en-US"/>
                          </w:rPr>
                        </w:pPr>
                        <w:r w:rsidRPr="00997EF7">
                          <w:rPr>
                            <w:rFonts w:asciiTheme="minorHAnsi" w:hAnsiTheme="minorHAnsi" w:cstheme="minorHAnsi"/>
                            <w:b/>
                            <w:bCs/>
                            <w:color w:val="auto"/>
                            <w:sz w:val="18"/>
                            <w:szCs w:val="18"/>
                            <w:lang w:val="en-GB" w:bidi="en-US"/>
                          </w:rPr>
                          <w:t>Sell</w:t>
                        </w:r>
                      </w:p>
                    </w:tc>
                    <w:tc>
                      <w:tcPr>
                        <w:tcW w:w="1093" w:type="dxa"/>
                        <w:tcBorders>
                          <w:bottom w:val="single" w:sz="4" w:space="0" w:color="auto"/>
                        </w:tcBorders>
                      </w:tcPr>
                      <w:p w14:paraId="582DECB1" w14:textId="4AE8EC25" w:rsidR="007A6902" w:rsidRPr="002B0E71" w:rsidRDefault="007A6902" w:rsidP="007A6902">
                        <w:pPr>
                          <w:pStyle w:val="Body"/>
                          <w:spacing w:before="0" w:after="0" w:line="240" w:lineRule="auto"/>
                          <w:ind w:left="0"/>
                          <w:jc w:val="right"/>
                          <w:rPr>
                            <w:rFonts w:asciiTheme="minorHAnsi" w:hAnsiTheme="minorHAnsi" w:cstheme="minorHAnsi"/>
                            <w:b/>
                            <w:bCs/>
                            <w:color w:val="auto"/>
                            <w:sz w:val="18"/>
                            <w:szCs w:val="18"/>
                            <w:lang w:val="en-GB" w:bidi="en-US"/>
                          </w:rPr>
                        </w:pPr>
                        <w:r w:rsidRPr="00002756">
                          <w:rPr>
                            <w:rFonts w:asciiTheme="minorHAnsi" w:hAnsiTheme="minorHAnsi" w:cstheme="minorHAnsi"/>
                            <w:b/>
                            <w:bCs/>
                            <w:color w:val="auto"/>
                            <w:sz w:val="18"/>
                            <w:szCs w:val="18"/>
                            <w:lang w:val="en-GB" w:bidi="en-US"/>
                          </w:rPr>
                          <w:t>Buy</w:t>
                        </w:r>
                      </w:p>
                    </w:tc>
                    <w:tc>
                      <w:tcPr>
                        <w:tcW w:w="1093" w:type="dxa"/>
                        <w:tcBorders>
                          <w:bottom w:val="single" w:sz="4" w:space="0" w:color="auto"/>
                        </w:tcBorders>
                      </w:tcPr>
                      <w:p w14:paraId="7DE29C2F" w14:textId="64B811D8" w:rsidR="007A6902" w:rsidRPr="002B0E71" w:rsidRDefault="007A6902" w:rsidP="007A6902">
                        <w:pPr>
                          <w:pStyle w:val="Body"/>
                          <w:spacing w:before="0" w:after="0" w:line="240" w:lineRule="auto"/>
                          <w:ind w:left="0"/>
                          <w:jc w:val="right"/>
                          <w:rPr>
                            <w:rFonts w:asciiTheme="minorHAnsi" w:hAnsiTheme="minorHAnsi" w:cstheme="minorHAnsi"/>
                            <w:b/>
                            <w:bCs/>
                            <w:color w:val="auto"/>
                            <w:sz w:val="18"/>
                            <w:szCs w:val="18"/>
                            <w:lang w:val="en-GB" w:bidi="en-US"/>
                          </w:rPr>
                        </w:pPr>
                        <w:r w:rsidRPr="00002756">
                          <w:rPr>
                            <w:rFonts w:asciiTheme="minorHAnsi" w:hAnsiTheme="minorHAnsi" w:cstheme="minorHAnsi"/>
                            <w:b/>
                            <w:bCs/>
                            <w:color w:val="auto"/>
                            <w:sz w:val="18"/>
                            <w:szCs w:val="18"/>
                            <w:lang w:val="en-GB" w:bidi="en-US"/>
                          </w:rPr>
                          <w:t>Sell</w:t>
                        </w:r>
                      </w:p>
                    </w:tc>
                    <w:tc>
                      <w:tcPr>
                        <w:tcW w:w="1093" w:type="dxa"/>
                        <w:tcBorders>
                          <w:bottom w:val="single" w:sz="4" w:space="0" w:color="auto"/>
                        </w:tcBorders>
                      </w:tcPr>
                      <w:p w14:paraId="52C8C654" w14:textId="15911A79" w:rsidR="007A6902" w:rsidRPr="007A6902" w:rsidRDefault="007A6902" w:rsidP="007A6902">
                        <w:pPr>
                          <w:pStyle w:val="Body"/>
                          <w:spacing w:before="0" w:after="0" w:line="240" w:lineRule="auto"/>
                          <w:ind w:left="0"/>
                          <w:jc w:val="right"/>
                          <w:rPr>
                            <w:rFonts w:asciiTheme="minorHAnsi" w:hAnsiTheme="minorHAnsi" w:cstheme="minorHAnsi"/>
                            <w:b/>
                            <w:bCs/>
                            <w:color w:val="auto"/>
                            <w:sz w:val="18"/>
                            <w:szCs w:val="18"/>
                            <w:lang w:val="en-GB" w:bidi="en-US"/>
                          </w:rPr>
                        </w:pPr>
                        <w:r w:rsidRPr="00002756">
                          <w:rPr>
                            <w:rFonts w:asciiTheme="minorHAnsi" w:hAnsiTheme="minorHAnsi" w:cstheme="minorHAnsi"/>
                            <w:b/>
                            <w:bCs/>
                            <w:color w:val="auto"/>
                            <w:sz w:val="18"/>
                            <w:szCs w:val="18"/>
                            <w:lang w:val="en-GB" w:bidi="en-US"/>
                          </w:rPr>
                          <w:t>Buy</w:t>
                        </w:r>
                      </w:p>
                    </w:tc>
                    <w:tc>
                      <w:tcPr>
                        <w:tcW w:w="1093" w:type="dxa"/>
                        <w:tcBorders>
                          <w:bottom w:val="single" w:sz="4" w:space="0" w:color="auto"/>
                        </w:tcBorders>
                      </w:tcPr>
                      <w:p w14:paraId="43769BF7" w14:textId="7F029400" w:rsidR="007A6902" w:rsidRPr="00997EF7" w:rsidRDefault="007A6902" w:rsidP="007A6902">
                        <w:pPr>
                          <w:pStyle w:val="Body"/>
                          <w:spacing w:before="0" w:after="0" w:line="240" w:lineRule="auto"/>
                          <w:ind w:left="0"/>
                          <w:jc w:val="right"/>
                          <w:rPr>
                            <w:rFonts w:asciiTheme="minorHAnsi" w:hAnsiTheme="minorHAnsi" w:cstheme="minorHAnsi"/>
                            <w:b/>
                            <w:bCs/>
                            <w:color w:val="auto"/>
                            <w:sz w:val="18"/>
                            <w:szCs w:val="18"/>
                            <w:lang w:val="en-GB" w:bidi="en-US"/>
                          </w:rPr>
                        </w:pPr>
                        <w:r w:rsidRPr="00002756">
                          <w:rPr>
                            <w:rFonts w:asciiTheme="minorHAnsi" w:hAnsiTheme="minorHAnsi" w:cstheme="minorHAnsi"/>
                            <w:b/>
                            <w:bCs/>
                            <w:color w:val="auto"/>
                            <w:sz w:val="18"/>
                            <w:szCs w:val="18"/>
                            <w:lang w:val="en-GB" w:bidi="en-US"/>
                          </w:rPr>
                          <w:t>Sell</w:t>
                        </w:r>
                      </w:p>
                    </w:tc>
                  </w:tr>
                  <w:tr w:rsidR="007A6902" w:rsidRPr="002B0E71" w14:paraId="42F03AC3" w14:textId="77777777" w:rsidTr="00997EF7">
                    <w:tc>
                      <w:tcPr>
                        <w:tcW w:w="2835" w:type="dxa"/>
                        <w:tcBorders>
                          <w:top w:val="single" w:sz="4" w:space="0" w:color="auto"/>
                        </w:tcBorders>
                      </w:tcPr>
                      <w:p w14:paraId="0BBDDA38" w14:textId="77777777" w:rsidR="007A6902" w:rsidRPr="00997EF7" w:rsidRDefault="007A6902" w:rsidP="007A6902">
                        <w:pPr>
                          <w:pStyle w:val="Body"/>
                          <w:spacing w:before="0" w:after="0" w:line="240" w:lineRule="auto"/>
                          <w:ind w:left="0"/>
                          <w:jc w:val="both"/>
                          <w:rPr>
                            <w:rFonts w:asciiTheme="minorHAnsi" w:hAnsiTheme="minorHAnsi" w:cstheme="minorHAnsi"/>
                            <w:color w:val="auto"/>
                            <w:sz w:val="18"/>
                            <w:szCs w:val="18"/>
                            <w:lang w:val="en-GB" w:bidi="en-US"/>
                          </w:rPr>
                        </w:pPr>
                        <w:r w:rsidRPr="00997EF7">
                          <w:rPr>
                            <w:rFonts w:asciiTheme="minorHAnsi" w:hAnsiTheme="minorHAnsi" w:cstheme="minorHAnsi"/>
                            <w:color w:val="auto"/>
                            <w:sz w:val="18"/>
                            <w:szCs w:val="18"/>
                            <w:lang w:val="en-GB" w:bidi="en-US"/>
                          </w:rPr>
                          <w:t>USD$’000</w:t>
                        </w:r>
                      </w:p>
                    </w:tc>
                    <w:tc>
                      <w:tcPr>
                        <w:tcW w:w="1093" w:type="dxa"/>
                        <w:tcBorders>
                          <w:top w:val="single" w:sz="4" w:space="0" w:color="auto"/>
                        </w:tcBorders>
                      </w:tcPr>
                      <w:p w14:paraId="0D695CA1" w14:textId="19633E48" w:rsidR="007A6902" w:rsidRPr="00997EF7" w:rsidRDefault="007A6902" w:rsidP="007A6902">
                        <w:pPr>
                          <w:pStyle w:val="Body"/>
                          <w:spacing w:before="0" w:after="0" w:line="240" w:lineRule="auto"/>
                          <w:ind w:left="0"/>
                          <w:jc w:val="right"/>
                          <w:rPr>
                            <w:rFonts w:asciiTheme="minorHAnsi" w:hAnsiTheme="minorHAnsi" w:cstheme="minorHAnsi"/>
                            <w:color w:val="auto"/>
                            <w:sz w:val="18"/>
                            <w:szCs w:val="18"/>
                            <w:lang w:val="en-GB" w:bidi="en-US"/>
                          </w:rPr>
                        </w:pPr>
                        <w:r>
                          <w:rPr>
                            <w:rFonts w:asciiTheme="minorHAnsi" w:hAnsiTheme="minorHAnsi" w:cstheme="minorHAnsi"/>
                            <w:color w:val="auto"/>
                            <w:sz w:val="18"/>
                            <w:szCs w:val="18"/>
                            <w:lang w:val="en-GB" w:bidi="en-US"/>
                          </w:rPr>
                          <w:t>59,100</w:t>
                        </w:r>
                      </w:p>
                    </w:tc>
                    <w:tc>
                      <w:tcPr>
                        <w:tcW w:w="1093" w:type="dxa"/>
                        <w:tcBorders>
                          <w:top w:val="single" w:sz="4" w:space="0" w:color="auto"/>
                        </w:tcBorders>
                      </w:tcPr>
                      <w:p w14:paraId="1E134E81" w14:textId="276AA4D6" w:rsidR="007A6902" w:rsidRPr="00997EF7" w:rsidRDefault="007A6902" w:rsidP="007A6902">
                        <w:pPr>
                          <w:pStyle w:val="Body"/>
                          <w:spacing w:before="0" w:after="0" w:line="240" w:lineRule="auto"/>
                          <w:ind w:left="0"/>
                          <w:jc w:val="right"/>
                          <w:rPr>
                            <w:rFonts w:asciiTheme="minorHAnsi" w:hAnsiTheme="minorHAnsi" w:cstheme="minorHAnsi"/>
                            <w:color w:val="auto"/>
                            <w:sz w:val="18"/>
                            <w:szCs w:val="18"/>
                            <w:lang w:val="en-GB" w:bidi="en-US"/>
                          </w:rPr>
                        </w:pPr>
                        <w:r>
                          <w:rPr>
                            <w:rFonts w:asciiTheme="minorHAnsi" w:hAnsiTheme="minorHAnsi" w:cstheme="minorHAnsi"/>
                            <w:color w:val="auto"/>
                            <w:sz w:val="18"/>
                            <w:szCs w:val="18"/>
                            <w:lang w:val="en-GB" w:bidi="en-US"/>
                          </w:rPr>
                          <w:t>-</w:t>
                        </w:r>
                      </w:p>
                    </w:tc>
                    <w:tc>
                      <w:tcPr>
                        <w:tcW w:w="1093" w:type="dxa"/>
                        <w:tcBorders>
                          <w:top w:val="single" w:sz="4" w:space="0" w:color="auto"/>
                        </w:tcBorders>
                      </w:tcPr>
                      <w:p w14:paraId="09885021" w14:textId="58CC136B" w:rsidR="007A6902" w:rsidRPr="002B0E71" w:rsidRDefault="00492492" w:rsidP="007A6902">
                        <w:pPr>
                          <w:pStyle w:val="Body"/>
                          <w:spacing w:before="0" w:after="0" w:line="240" w:lineRule="auto"/>
                          <w:ind w:left="0"/>
                          <w:jc w:val="right"/>
                          <w:rPr>
                            <w:rFonts w:asciiTheme="minorHAnsi" w:hAnsiTheme="minorHAnsi" w:cstheme="minorHAnsi"/>
                            <w:color w:val="auto"/>
                            <w:sz w:val="18"/>
                            <w:szCs w:val="18"/>
                            <w:lang w:val="en-GB" w:bidi="en-US"/>
                          </w:rPr>
                        </w:pPr>
                        <w:r>
                          <w:rPr>
                            <w:rFonts w:asciiTheme="minorHAnsi" w:hAnsiTheme="minorHAnsi" w:cstheme="minorHAnsi"/>
                            <w:color w:val="auto"/>
                            <w:sz w:val="18"/>
                            <w:szCs w:val="18"/>
                            <w:lang w:val="en-GB" w:bidi="en-US"/>
                          </w:rPr>
                          <w:t>57,825</w:t>
                        </w:r>
                      </w:p>
                    </w:tc>
                    <w:tc>
                      <w:tcPr>
                        <w:tcW w:w="1093" w:type="dxa"/>
                        <w:tcBorders>
                          <w:top w:val="single" w:sz="4" w:space="0" w:color="auto"/>
                        </w:tcBorders>
                      </w:tcPr>
                      <w:p w14:paraId="7411256A" w14:textId="74E57D8E" w:rsidR="007A6902" w:rsidRPr="002B0E71" w:rsidRDefault="00492492" w:rsidP="007A6902">
                        <w:pPr>
                          <w:pStyle w:val="Body"/>
                          <w:spacing w:before="0" w:after="0" w:line="240" w:lineRule="auto"/>
                          <w:ind w:left="0"/>
                          <w:jc w:val="right"/>
                          <w:rPr>
                            <w:rFonts w:asciiTheme="minorHAnsi" w:hAnsiTheme="minorHAnsi" w:cstheme="minorHAnsi"/>
                            <w:color w:val="auto"/>
                            <w:sz w:val="18"/>
                            <w:szCs w:val="18"/>
                            <w:lang w:val="en-GB" w:bidi="en-US"/>
                          </w:rPr>
                        </w:pPr>
                        <w:r>
                          <w:rPr>
                            <w:rFonts w:asciiTheme="minorHAnsi" w:hAnsiTheme="minorHAnsi" w:cstheme="minorHAnsi"/>
                            <w:color w:val="auto"/>
                            <w:sz w:val="18"/>
                            <w:szCs w:val="18"/>
                            <w:lang w:val="en-GB" w:bidi="en-US"/>
                          </w:rPr>
                          <w:t>-</w:t>
                        </w:r>
                      </w:p>
                    </w:tc>
                    <w:tc>
                      <w:tcPr>
                        <w:tcW w:w="1093" w:type="dxa"/>
                        <w:tcBorders>
                          <w:top w:val="single" w:sz="4" w:space="0" w:color="auto"/>
                        </w:tcBorders>
                      </w:tcPr>
                      <w:p w14:paraId="2C372CD6" w14:textId="30CC95FC" w:rsidR="007A6902" w:rsidRPr="007A6902" w:rsidRDefault="007A6902" w:rsidP="007A6902">
                        <w:pPr>
                          <w:pStyle w:val="Body"/>
                          <w:spacing w:before="0" w:after="0" w:line="240" w:lineRule="auto"/>
                          <w:ind w:left="0"/>
                          <w:jc w:val="right"/>
                          <w:rPr>
                            <w:rFonts w:asciiTheme="minorHAnsi" w:hAnsiTheme="minorHAnsi" w:cstheme="minorHAnsi"/>
                            <w:color w:val="auto"/>
                            <w:sz w:val="18"/>
                            <w:szCs w:val="18"/>
                            <w:lang w:val="en-GB" w:bidi="en-US"/>
                          </w:rPr>
                        </w:pPr>
                        <w:r>
                          <w:rPr>
                            <w:rFonts w:asciiTheme="minorHAnsi" w:hAnsiTheme="minorHAnsi" w:cstheme="minorHAnsi"/>
                            <w:color w:val="auto"/>
                            <w:sz w:val="18"/>
                            <w:szCs w:val="18"/>
                            <w:lang w:val="en-GB" w:bidi="en-US"/>
                          </w:rPr>
                          <w:t>57,050</w:t>
                        </w:r>
                      </w:p>
                    </w:tc>
                    <w:tc>
                      <w:tcPr>
                        <w:tcW w:w="1093" w:type="dxa"/>
                        <w:tcBorders>
                          <w:top w:val="single" w:sz="4" w:space="0" w:color="auto"/>
                        </w:tcBorders>
                      </w:tcPr>
                      <w:p w14:paraId="65B75F50" w14:textId="1A8BD5BC" w:rsidR="007A6902" w:rsidRPr="00997EF7" w:rsidRDefault="007A6902" w:rsidP="007A6902">
                        <w:pPr>
                          <w:pStyle w:val="Body"/>
                          <w:spacing w:before="0" w:after="0" w:line="240" w:lineRule="auto"/>
                          <w:ind w:left="0"/>
                          <w:jc w:val="right"/>
                          <w:rPr>
                            <w:rFonts w:asciiTheme="minorHAnsi" w:hAnsiTheme="minorHAnsi" w:cstheme="minorHAnsi"/>
                            <w:color w:val="auto"/>
                            <w:sz w:val="18"/>
                            <w:szCs w:val="18"/>
                            <w:lang w:val="en-GB" w:bidi="en-US"/>
                          </w:rPr>
                        </w:pPr>
                        <w:r>
                          <w:rPr>
                            <w:rFonts w:asciiTheme="minorHAnsi" w:hAnsiTheme="minorHAnsi" w:cstheme="minorHAnsi"/>
                            <w:color w:val="auto"/>
                            <w:sz w:val="18"/>
                            <w:szCs w:val="18"/>
                            <w:lang w:val="en-GB" w:bidi="en-US"/>
                          </w:rPr>
                          <w:t>-</w:t>
                        </w:r>
                      </w:p>
                    </w:tc>
                  </w:tr>
                  <w:tr w:rsidR="007A6902" w:rsidRPr="002B0E71" w14:paraId="2FED2C83" w14:textId="77777777" w:rsidTr="00997EF7">
                    <w:tc>
                      <w:tcPr>
                        <w:tcW w:w="2835" w:type="dxa"/>
                      </w:tcPr>
                      <w:p w14:paraId="150B1DF0" w14:textId="399967BA" w:rsidR="007A6902" w:rsidRPr="00997EF7" w:rsidRDefault="00D55C98" w:rsidP="007A6902">
                        <w:pPr>
                          <w:pStyle w:val="Body"/>
                          <w:spacing w:before="0" w:after="0" w:line="240" w:lineRule="auto"/>
                          <w:ind w:left="0"/>
                          <w:jc w:val="both"/>
                          <w:rPr>
                            <w:rFonts w:asciiTheme="minorHAnsi" w:hAnsiTheme="minorHAnsi" w:cstheme="minorHAnsi"/>
                            <w:color w:val="auto"/>
                            <w:sz w:val="18"/>
                            <w:szCs w:val="18"/>
                            <w:lang w:val="en-GB" w:bidi="en-US"/>
                          </w:rPr>
                        </w:pPr>
                        <w:r>
                          <w:rPr>
                            <w:rFonts w:asciiTheme="minorHAnsi" w:hAnsiTheme="minorHAnsi" w:cstheme="minorHAnsi"/>
                            <w:color w:val="auto"/>
                            <w:sz w:val="18"/>
                            <w:szCs w:val="18"/>
                            <w:lang w:val="en-GB" w:bidi="en-US"/>
                          </w:rPr>
                          <w:t>EUR</w:t>
                        </w:r>
                        <w:r w:rsidR="007A6902" w:rsidRPr="00997EF7">
                          <w:rPr>
                            <w:rFonts w:asciiTheme="minorHAnsi" w:hAnsiTheme="minorHAnsi" w:cstheme="minorHAnsi"/>
                            <w:color w:val="auto"/>
                            <w:sz w:val="18"/>
                            <w:szCs w:val="18"/>
                            <w:lang w:val="en-GB" w:bidi="en-US"/>
                          </w:rPr>
                          <w:t>€’000</w:t>
                        </w:r>
                      </w:p>
                    </w:tc>
                    <w:tc>
                      <w:tcPr>
                        <w:tcW w:w="1093" w:type="dxa"/>
                      </w:tcPr>
                      <w:p w14:paraId="66884485" w14:textId="748BC552" w:rsidR="007A6902" w:rsidRPr="00997EF7" w:rsidRDefault="007A6902" w:rsidP="007A6902">
                        <w:pPr>
                          <w:pStyle w:val="Body"/>
                          <w:spacing w:before="0" w:after="0" w:line="240" w:lineRule="auto"/>
                          <w:ind w:left="0"/>
                          <w:jc w:val="right"/>
                          <w:rPr>
                            <w:rFonts w:asciiTheme="minorHAnsi" w:hAnsiTheme="minorHAnsi" w:cstheme="minorHAnsi"/>
                            <w:color w:val="auto"/>
                            <w:sz w:val="18"/>
                            <w:szCs w:val="18"/>
                            <w:lang w:val="en-GB" w:bidi="en-US"/>
                          </w:rPr>
                        </w:pPr>
                        <w:r>
                          <w:rPr>
                            <w:rFonts w:asciiTheme="minorHAnsi" w:hAnsiTheme="minorHAnsi" w:cstheme="minorHAnsi"/>
                            <w:color w:val="auto"/>
                            <w:sz w:val="18"/>
                            <w:szCs w:val="18"/>
                            <w:lang w:val="en-GB" w:bidi="en-US"/>
                          </w:rPr>
                          <w:t>-</w:t>
                        </w:r>
                      </w:p>
                    </w:tc>
                    <w:tc>
                      <w:tcPr>
                        <w:tcW w:w="1093" w:type="dxa"/>
                      </w:tcPr>
                      <w:p w14:paraId="14B99556" w14:textId="13A1402E" w:rsidR="007A6902" w:rsidRPr="00997EF7" w:rsidRDefault="007A6902" w:rsidP="007A6902">
                        <w:pPr>
                          <w:pStyle w:val="Body"/>
                          <w:spacing w:before="0" w:after="0" w:line="240" w:lineRule="auto"/>
                          <w:ind w:left="0"/>
                          <w:jc w:val="right"/>
                          <w:rPr>
                            <w:rFonts w:asciiTheme="minorHAnsi" w:hAnsiTheme="minorHAnsi" w:cstheme="minorHAnsi"/>
                            <w:color w:val="auto"/>
                            <w:sz w:val="18"/>
                            <w:szCs w:val="18"/>
                            <w:lang w:val="en-GB" w:bidi="en-US"/>
                          </w:rPr>
                        </w:pPr>
                        <w:r>
                          <w:rPr>
                            <w:rFonts w:asciiTheme="minorHAnsi" w:hAnsiTheme="minorHAnsi" w:cstheme="minorHAnsi"/>
                            <w:color w:val="auto"/>
                            <w:sz w:val="18"/>
                            <w:szCs w:val="18"/>
                            <w:lang w:val="en-GB" w:bidi="en-US"/>
                          </w:rPr>
                          <w:t>23,450</w:t>
                        </w:r>
                      </w:p>
                    </w:tc>
                    <w:tc>
                      <w:tcPr>
                        <w:tcW w:w="1093" w:type="dxa"/>
                      </w:tcPr>
                      <w:p w14:paraId="611EC53E" w14:textId="52C8DF25" w:rsidR="007A6902" w:rsidRPr="002B0E71" w:rsidRDefault="00492492" w:rsidP="007A6902">
                        <w:pPr>
                          <w:pStyle w:val="Body"/>
                          <w:spacing w:before="0" w:after="0" w:line="240" w:lineRule="auto"/>
                          <w:ind w:left="0"/>
                          <w:jc w:val="right"/>
                          <w:rPr>
                            <w:rFonts w:asciiTheme="minorHAnsi" w:hAnsiTheme="minorHAnsi" w:cstheme="minorHAnsi"/>
                            <w:color w:val="auto"/>
                            <w:sz w:val="18"/>
                            <w:szCs w:val="18"/>
                            <w:lang w:val="en-GB" w:bidi="en-US"/>
                          </w:rPr>
                        </w:pPr>
                        <w:r>
                          <w:rPr>
                            <w:rFonts w:asciiTheme="minorHAnsi" w:hAnsiTheme="minorHAnsi" w:cstheme="minorHAnsi"/>
                            <w:color w:val="auto"/>
                            <w:sz w:val="18"/>
                            <w:szCs w:val="18"/>
                            <w:lang w:val="en-GB" w:bidi="en-US"/>
                          </w:rPr>
                          <w:t>-</w:t>
                        </w:r>
                      </w:p>
                    </w:tc>
                    <w:tc>
                      <w:tcPr>
                        <w:tcW w:w="1093" w:type="dxa"/>
                      </w:tcPr>
                      <w:p w14:paraId="22978343" w14:textId="22E3D2AE" w:rsidR="007A6902" w:rsidRPr="002B0E71" w:rsidRDefault="00492492" w:rsidP="007A6902">
                        <w:pPr>
                          <w:pStyle w:val="Body"/>
                          <w:spacing w:before="0" w:after="0" w:line="240" w:lineRule="auto"/>
                          <w:ind w:left="0"/>
                          <w:jc w:val="right"/>
                          <w:rPr>
                            <w:rFonts w:asciiTheme="minorHAnsi" w:hAnsiTheme="minorHAnsi" w:cstheme="minorHAnsi"/>
                            <w:color w:val="auto"/>
                            <w:sz w:val="18"/>
                            <w:szCs w:val="18"/>
                            <w:lang w:val="en-GB" w:bidi="en-US"/>
                          </w:rPr>
                        </w:pPr>
                        <w:r>
                          <w:rPr>
                            <w:rFonts w:asciiTheme="minorHAnsi" w:hAnsiTheme="minorHAnsi" w:cstheme="minorHAnsi"/>
                            <w:color w:val="auto"/>
                            <w:sz w:val="18"/>
                            <w:szCs w:val="18"/>
                            <w:lang w:val="en-GB" w:bidi="en-US"/>
                          </w:rPr>
                          <w:t>19,350</w:t>
                        </w:r>
                      </w:p>
                    </w:tc>
                    <w:tc>
                      <w:tcPr>
                        <w:tcW w:w="1093" w:type="dxa"/>
                      </w:tcPr>
                      <w:p w14:paraId="6C520EBB" w14:textId="3ABEBB5D" w:rsidR="007A6902" w:rsidRPr="007A6902" w:rsidRDefault="007A6902" w:rsidP="007A6902">
                        <w:pPr>
                          <w:pStyle w:val="Body"/>
                          <w:spacing w:before="0" w:after="0" w:line="240" w:lineRule="auto"/>
                          <w:ind w:left="0"/>
                          <w:jc w:val="right"/>
                          <w:rPr>
                            <w:rFonts w:asciiTheme="minorHAnsi" w:hAnsiTheme="minorHAnsi" w:cstheme="minorHAnsi"/>
                            <w:color w:val="auto"/>
                            <w:sz w:val="18"/>
                            <w:szCs w:val="18"/>
                            <w:lang w:val="en-GB" w:bidi="en-US"/>
                          </w:rPr>
                        </w:pPr>
                        <w:r>
                          <w:rPr>
                            <w:rFonts w:asciiTheme="minorHAnsi" w:hAnsiTheme="minorHAnsi" w:cstheme="minorHAnsi"/>
                            <w:color w:val="auto"/>
                            <w:sz w:val="18"/>
                            <w:szCs w:val="18"/>
                            <w:lang w:val="en-GB" w:bidi="en-US"/>
                          </w:rPr>
                          <w:t>-</w:t>
                        </w:r>
                      </w:p>
                    </w:tc>
                    <w:tc>
                      <w:tcPr>
                        <w:tcW w:w="1093" w:type="dxa"/>
                      </w:tcPr>
                      <w:p w14:paraId="2EA2B0C0" w14:textId="039BB83E" w:rsidR="007A6902" w:rsidRPr="00997EF7" w:rsidRDefault="007A6902" w:rsidP="007A6902">
                        <w:pPr>
                          <w:pStyle w:val="Body"/>
                          <w:spacing w:before="0" w:after="0" w:line="240" w:lineRule="auto"/>
                          <w:ind w:left="0"/>
                          <w:jc w:val="right"/>
                          <w:rPr>
                            <w:rFonts w:asciiTheme="minorHAnsi" w:hAnsiTheme="minorHAnsi" w:cstheme="minorHAnsi"/>
                            <w:color w:val="auto"/>
                            <w:sz w:val="18"/>
                            <w:szCs w:val="18"/>
                            <w:lang w:val="en-GB" w:bidi="en-US"/>
                          </w:rPr>
                        </w:pPr>
                        <w:r>
                          <w:rPr>
                            <w:rFonts w:asciiTheme="minorHAnsi" w:hAnsiTheme="minorHAnsi" w:cstheme="minorHAnsi"/>
                            <w:color w:val="auto"/>
                            <w:sz w:val="18"/>
                            <w:szCs w:val="18"/>
                            <w:lang w:val="en-GB" w:bidi="en-US"/>
                          </w:rPr>
                          <w:t>23,200</w:t>
                        </w:r>
                      </w:p>
                    </w:tc>
                  </w:tr>
                  <w:tr w:rsidR="007A6902" w:rsidRPr="002B0E71" w14:paraId="5A9C13F2" w14:textId="77777777" w:rsidTr="00997EF7">
                    <w:tc>
                      <w:tcPr>
                        <w:tcW w:w="2835" w:type="dxa"/>
                      </w:tcPr>
                      <w:p w14:paraId="38D16F56" w14:textId="77777777" w:rsidR="007A6902" w:rsidRPr="00997EF7" w:rsidRDefault="007A6902" w:rsidP="007A6902">
                        <w:pPr>
                          <w:pStyle w:val="Body"/>
                          <w:spacing w:before="0" w:after="0" w:line="240" w:lineRule="auto"/>
                          <w:ind w:left="0"/>
                          <w:jc w:val="both"/>
                          <w:rPr>
                            <w:rFonts w:asciiTheme="minorHAnsi" w:hAnsiTheme="minorHAnsi" w:cstheme="minorHAnsi"/>
                            <w:color w:val="auto"/>
                            <w:sz w:val="18"/>
                            <w:szCs w:val="18"/>
                            <w:lang w:val="en-GB" w:bidi="en-US"/>
                          </w:rPr>
                        </w:pPr>
                        <w:r w:rsidRPr="00997EF7">
                          <w:rPr>
                            <w:rFonts w:asciiTheme="minorHAnsi" w:hAnsiTheme="minorHAnsi" w:cstheme="minorHAnsi"/>
                            <w:color w:val="auto"/>
                            <w:sz w:val="18"/>
                            <w:szCs w:val="18"/>
                            <w:lang w:val="en-GB" w:bidi="en-US"/>
                          </w:rPr>
                          <w:t>CAD$’000</w:t>
                        </w:r>
                      </w:p>
                    </w:tc>
                    <w:tc>
                      <w:tcPr>
                        <w:tcW w:w="1093" w:type="dxa"/>
                      </w:tcPr>
                      <w:p w14:paraId="55A91699" w14:textId="6D75E7CE" w:rsidR="007A6902" w:rsidRPr="00997EF7" w:rsidRDefault="007A6902" w:rsidP="007A6902">
                        <w:pPr>
                          <w:pStyle w:val="Body"/>
                          <w:spacing w:before="0" w:after="0" w:line="240" w:lineRule="auto"/>
                          <w:ind w:left="0"/>
                          <w:jc w:val="right"/>
                          <w:rPr>
                            <w:rFonts w:asciiTheme="minorHAnsi" w:hAnsiTheme="minorHAnsi" w:cstheme="minorHAnsi"/>
                            <w:color w:val="auto"/>
                            <w:sz w:val="18"/>
                            <w:szCs w:val="18"/>
                            <w:lang w:val="en-GB" w:bidi="en-US"/>
                          </w:rPr>
                        </w:pPr>
                        <w:r>
                          <w:rPr>
                            <w:rFonts w:asciiTheme="minorHAnsi" w:hAnsiTheme="minorHAnsi" w:cstheme="minorHAnsi"/>
                            <w:color w:val="auto"/>
                            <w:sz w:val="18"/>
                            <w:szCs w:val="18"/>
                            <w:lang w:val="en-GB" w:bidi="en-US"/>
                          </w:rPr>
                          <w:t>-</w:t>
                        </w:r>
                      </w:p>
                    </w:tc>
                    <w:tc>
                      <w:tcPr>
                        <w:tcW w:w="1093" w:type="dxa"/>
                      </w:tcPr>
                      <w:p w14:paraId="52D4DC0C" w14:textId="3D8F83AB" w:rsidR="007A6902" w:rsidRPr="00997EF7" w:rsidRDefault="007A6902" w:rsidP="007A6902">
                        <w:pPr>
                          <w:pStyle w:val="Body"/>
                          <w:spacing w:before="0" w:after="0" w:line="240" w:lineRule="auto"/>
                          <w:ind w:left="0"/>
                          <w:jc w:val="right"/>
                          <w:rPr>
                            <w:rFonts w:asciiTheme="minorHAnsi" w:hAnsiTheme="minorHAnsi" w:cstheme="minorHAnsi"/>
                            <w:color w:val="auto"/>
                            <w:sz w:val="18"/>
                            <w:szCs w:val="18"/>
                            <w:lang w:val="en-GB" w:bidi="en-US"/>
                          </w:rPr>
                        </w:pPr>
                        <w:r>
                          <w:rPr>
                            <w:rFonts w:asciiTheme="minorHAnsi" w:hAnsiTheme="minorHAnsi" w:cstheme="minorHAnsi"/>
                            <w:color w:val="auto"/>
                            <w:sz w:val="18"/>
                            <w:szCs w:val="18"/>
                            <w:lang w:val="en-GB" w:bidi="en-US"/>
                          </w:rPr>
                          <w:t>-</w:t>
                        </w:r>
                      </w:p>
                    </w:tc>
                    <w:tc>
                      <w:tcPr>
                        <w:tcW w:w="1093" w:type="dxa"/>
                      </w:tcPr>
                      <w:p w14:paraId="303CB544" w14:textId="7A6D50B5" w:rsidR="007A6902" w:rsidRPr="002B0E71" w:rsidRDefault="00492492" w:rsidP="007A6902">
                        <w:pPr>
                          <w:pStyle w:val="Body"/>
                          <w:spacing w:before="0" w:after="0" w:line="240" w:lineRule="auto"/>
                          <w:ind w:left="0"/>
                          <w:jc w:val="right"/>
                          <w:rPr>
                            <w:rFonts w:asciiTheme="minorHAnsi" w:hAnsiTheme="minorHAnsi" w:cstheme="minorHAnsi"/>
                            <w:color w:val="auto"/>
                            <w:sz w:val="18"/>
                            <w:szCs w:val="18"/>
                            <w:lang w:val="en-GB" w:bidi="en-US"/>
                          </w:rPr>
                        </w:pPr>
                        <w:r>
                          <w:rPr>
                            <w:rFonts w:asciiTheme="minorHAnsi" w:hAnsiTheme="minorHAnsi" w:cstheme="minorHAnsi"/>
                            <w:color w:val="auto"/>
                            <w:sz w:val="18"/>
                            <w:szCs w:val="18"/>
                            <w:lang w:val="en-GB" w:bidi="en-US"/>
                          </w:rPr>
                          <w:t>-</w:t>
                        </w:r>
                      </w:p>
                    </w:tc>
                    <w:tc>
                      <w:tcPr>
                        <w:tcW w:w="1093" w:type="dxa"/>
                      </w:tcPr>
                      <w:p w14:paraId="18E3D127" w14:textId="5EA308EB" w:rsidR="007A6902" w:rsidRPr="002B0E71" w:rsidRDefault="00492492" w:rsidP="007A6902">
                        <w:pPr>
                          <w:pStyle w:val="Body"/>
                          <w:spacing w:before="0" w:after="0" w:line="240" w:lineRule="auto"/>
                          <w:ind w:left="0"/>
                          <w:jc w:val="right"/>
                          <w:rPr>
                            <w:rFonts w:asciiTheme="minorHAnsi" w:hAnsiTheme="minorHAnsi" w:cstheme="minorHAnsi"/>
                            <w:color w:val="auto"/>
                            <w:sz w:val="18"/>
                            <w:szCs w:val="18"/>
                            <w:lang w:val="en-GB" w:bidi="en-US"/>
                          </w:rPr>
                        </w:pPr>
                        <w:r>
                          <w:rPr>
                            <w:rFonts w:asciiTheme="minorHAnsi" w:hAnsiTheme="minorHAnsi" w:cstheme="minorHAnsi"/>
                            <w:color w:val="auto"/>
                            <w:sz w:val="18"/>
                            <w:szCs w:val="18"/>
                            <w:lang w:val="en-GB" w:bidi="en-US"/>
                          </w:rPr>
                          <w:t>-</w:t>
                        </w:r>
                      </w:p>
                    </w:tc>
                    <w:tc>
                      <w:tcPr>
                        <w:tcW w:w="1093" w:type="dxa"/>
                      </w:tcPr>
                      <w:p w14:paraId="1E6D2CD5" w14:textId="68F7AD9F" w:rsidR="007A6902" w:rsidRPr="007A6902" w:rsidRDefault="007A6902" w:rsidP="007A6902">
                        <w:pPr>
                          <w:pStyle w:val="Body"/>
                          <w:spacing w:before="0" w:after="0" w:line="240" w:lineRule="auto"/>
                          <w:ind w:left="0"/>
                          <w:jc w:val="right"/>
                          <w:rPr>
                            <w:rFonts w:asciiTheme="minorHAnsi" w:hAnsiTheme="minorHAnsi" w:cstheme="minorHAnsi"/>
                            <w:color w:val="auto"/>
                            <w:sz w:val="18"/>
                            <w:szCs w:val="18"/>
                            <w:lang w:val="en-GB" w:bidi="en-US"/>
                          </w:rPr>
                        </w:pPr>
                        <w:r>
                          <w:rPr>
                            <w:rFonts w:asciiTheme="minorHAnsi" w:hAnsiTheme="minorHAnsi" w:cstheme="minorHAnsi"/>
                            <w:color w:val="auto"/>
                            <w:sz w:val="18"/>
                            <w:szCs w:val="18"/>
                            <w:lang w:val="en-GB" w:bidi="en-US"/>
                          </w:rPr>
                          <w:t>-</w:t>
                        </w:r>
                      </w:p>
                    </w:tc>
                    <w:tc>
                      <w:tcPr>
                        <w:tcW w:w="1093" w:type="dxa"/>
                      </w:tcPr>
                      <w:p w14:paraId="4B0AAAD9" w14:textId="496EDF04" w:rsidR="007A6902" w:rsidRPr="00997EF7" w:rsidRDefault="007A6902" w:rsidP="007A6902">
                        <w:pPr>
                          <w:pStyle w:val="Body"/>
                          <w:spacing w:before="0" w:after="0" w:line="240" w:lineRule="auto"/>
                          <w:ind w:left="0"/>
                          <w:jc w:val="right"/>
                          <w:rPr>
                            <w:rFonts w:asciiTheme="minorHAnsi" w:hAnsiTheme="minorHAnsi" w:cstheme="minorHAnsi"/>
                            <w:color w:val="auto"/>
                            <w:sz w:val="18"/>
                            <w:szCs w:val="18"/>
                            <w:lang w:val="en-GB" w:bidi="en-US"/>
                          </w:rPr>
                        </w:pPr>
                        <w:r>
                          <w:rPr>
                            <w:rFonts w:asciiTheme="minorHAnsi" w:hAnsiTheme="minorHAnsi" w:cstheme="minorHAnsi"/>
                            <w:color w:val="auto"/>
                            <w:sz w:val="18"/>
                            <w:szCs w:val="18"/>
                            <w:lang w:val="en-GB" w:bidi="en-US"/>
                          </w:rPr>
                          <w:t>60</w:t>
                        </w:r>
                      </w:p>
                    </w:tc>
                  </w:tr>
                  <w:tr w:rsidR="007A6902" w:rsidRPr="002B0E71" w14:paraId="6BF697CB" w14:textId="77777777" w:rsidTr="00997EF7">
                    <w:tc>
                      <w:tcPr>
                        <w:tcW w:w="2835" w:type="dxa"/>
                      </w:tcPr>
                      <w:p w14:paraId="30B60175" w14:textId="77777777" w:rsidR="007A6902" w:rsidRPr="00997EF7" w:rsidRDefault="007A6902" w:rsidP="007A6902">
                        <w:pPr>
                          <w:pStyle w:val="Body"/>
                          <w:spacing w:before="0" w:after="0" w:line="240" w:lineRule="auto"/>
                          <w:ind w:left="0"/>
                          <w:jc w:val="both"/>
                          <w:rPr>
                            <w:rFonts w:asciiTheme="minorHAnsi" w:hAnsiTheme="minorHAnsi" w:cstheme="minorHAnsi"/>
                            <w:color w:val="auto"/>
                            <w:sz w:val="18"/>
                            <w:szCs w:val="18"/>
                            <w:lang w:val="en-GB" w:bidi="en-US"/>
                          </w:rPr>
                        </w:pPr>
                        <w:r w:rsidRPr="00997EF7">
                          <w:rPr>
                            <w:rFonts w:asciiTheme="minorHAnsi" w:hAnsiTheme="minorHAnsi" w:cstheme="minorHAnsi"/>
                            <w:color w:val="auto"/>
                            <w:sz w:val="18"/>
                            <w:szCs w:val="18"/>
                            <w:lang w:val="en-GB" w:bidi="en-US"/>
                          </w:rPr>
                          <w:t>PLN’000</w:t>
                        </w:r>
                      </w:p>
                    </w:tc>
                    <w:tc>
                      <w:tcPr>
                        <w:tcW w:w="1093" w:type="dxa"/>
                      </w:tcPr>
                      <w:p w14:paraId="5162B77A" w14:textId="5A1713C9" w:rsidR="007A6902" w:rsidRPr="00997EF7" w:rsidRDefault="007A6902" w:rsidP="007A6902">
                        <w:pPr>
                          <w:pStyle w:val="Body"/>
                          <w:spacing w:before="0" w:after="0" w:line="240" w:lineRule="auto"/>
                          <w:ind w:left="0"/>
                          <w:jc w:val="right"/>
                          <w:rPr>
                            <w:rFonts w:asciiTheme="minorHAnsi" w:hAnsiTheme="minorHAnsi" w:cstheme="minorHAnsi"/>
                            <w:color w:val="auto"/>
                            <w:sz w:val="18"/>
                            <w:szCs w:val="18"/>
                            <w:lang w:val="en-GB" w:bidi="en-US"/>
                          </w:rPr>
                        </w:pPr>
                        <w:r>
                          <w:rPr>
                            <w:rFonts w:asciiTheme="minorHAnsi" w:hAnsiTheme="minorHAnsi" w:cstheme="minorHAnsi"/>
                            <w:color w:val="auto"/>
                            <w:sz w:val="18"/>
                            <w:szCs w:val="18"/>
                            <w:lang w:val="en-GB" w:bidi="en-US"/>
                          </w:rPr>
                          <w:t>-</w:t>
                        </w:r>
                      </w:p>
                    </w:tc>
                    <w:tc>
                      <w:tcPr>
                        <w:tcW w:w="1093" w:type="dxa"/>
                      </w:tcPr>
                      <w:p w14:paraId="53259238" w14:textId="7DE4414E" w:rsidR="007A6902" w:rsidRPr="00997EF7" w:rsidRDefault="007A6902" w:rsidP="007A6902">
                        <w:pPr>
                          <w:pStyle w:val="Body"/>
                          <w:spacing w:before="0" w:after="0" w:line="240" w:lineRule="auto"/>
                          <w:ind w:left="0"/>
                          <w:jc w:val="right"/>
                          <w:rPr>
                            <w:rFonts w:asciiTheme="minorHAnsi" w:hAnsiTheme="minorHAnsi" w:cstheme="minorHAnsi"/>
                            <w:color w:val="auto"/>
                            <w:sz w:val="18"/>
                            <w:szCs w:val="18"/>
                            <w:lang w:val="en-GB" w:bidi="en-US"/>
                          </w:rPr>
                        </w:pPr>
                        <w:r>
                          <w:rPr>
                            <w:rFonts w:asciiTheme="minorHAnsi" w:hAnsiTheme="minorHAnsi" w:cstheme="minorHAnsi"/>
                            <w:color w:val="auto"/>
                            <w:sz w:val="18"/>
                            <w:szCs w:val="18"/>
                            <w:lang w:val="en-GB" w:bidi="en-US"/>
                          </w:rPr>
                          <w:t>3,300</w:t>
                        </w:r>
                      </w:p>
                    </w:tc>
                    <w:tc>
                      <w:tcPr>
                        <w:tcW w:w="1093" w:type="dxa"/>
                      </w:tcPr>
                      <w:p w14:paraId="1A75631A" w14:textId="6E5AFA98" w:rsidR="007A6902" w:rsidRPr="002B0E71" w:rsidRDefault="00492492" w:rsidP="007A6902">
                        <w:pPr>
                          <w:pStyle w:val="Body"/>
                          <w:spacing w:before="0" w:after="0" w:line="240" w:lineRule="auto"/>
                          <w:ind w:left="0"/>
                          <w:jc w:val="right"/>
                          <w:rPr>
                            <w:rFonts w:asciiTheme="minorHAnsi" w:hAnsiTheme="minorHAnsi" w:cstheme="minorHAnsi"/>
                            <w:color w:val="auto"/>
                            <w:sz w:val="18"/>
                            <w:szCs w:val="18"/>
                            <w:lang w:val="en-GB" w:bidi="en-US"/>
                          </w:rPr>
                        </w:pPr>
                        <w:r>
                          <w:rPr>
                            <w:rFonts w:asciiTheme="minorHAnsi" w:hAnsiTheme="minorHAnsi" w:cstheme="minorHAnsi"/>
                            <w:color w:val="auto"/>
                            <w:sz w:val="18"/>
                            <w:szCs w:val="18"/>
                            <w:lang w:val="en-GB" w:bidi="en-US"/>
                          </w:rPr>
                          <w:t>-</w:t>
                        </w:r>
                      </w:p>
                    </w:tc>
                    <w:tc>
                      <w:tcPr>
                        <w:tcW w:w="1093" w:type="dxa"/>
                      </w:tcPr>
                      <w:p w14:paraId="6114110C" w14:textId="553D743A" w:rsidR="007A6902" w:rsidRPr="002B0E71" w:rsidRDefault="00492492" w:rsidP="007A6902">
                        <w:pPr>
                          <w:pStyle w:val="Body"/>
                          <w:spacing w:before="0" w:after="0" w:line="240" w:lineRule="auto"/>
                          <w:ind w:left="0"/>
                          <w:jc w:val="right"/>
                          <w:rPr>
                            <w:rFonts w:asciiTheme="minorHAnsi" w:hAnsiTheme="minorHAnsi" w:cstheme="minorHAnsi"/>
                            <w:color w:val="auto"/>
                            <w:sz w:val="18"/>
                            <w:szCs w:val="18"/>
                            <w:lang w:val="en-GB" w:bidi="en-US"/>
                          </w:rPr>
                        </w:pPr>
                        <w:r>
                          <w:rPr>
                            <w:rFonts w:asciiTheme="minorHAnsi" w:hAnsiTheme="minorHAnsi" w:cstheme="minorHAnsi"/>
                            <w:color w:val="auto"/>
                            <w:sz w:val="18"/>
                            <w:szCs w:val="18"/>
                            <w:lang w:val="en-GB" w:bidi="en-US"/>
                          </w:rPr>
                          <w:t>300</w:t>
                        </w:r>
                      </w:p>
                    </w:tc>
                    <w:tc>
                      <w:tcPr>
                        <w:tcW w:w="1093" w:type="dxa"/>
                      </w:tcPr>
                      <w:p w14:paraId="6D075E56" w14:textId="7648CBC9" w:rsidR="007A6902" w:rsidRPr="007A6902" w:rsidRDefault="007A6902" w:rsidP="007A6902">
                        <w:pPr>
                          <w:pStyle w:val="Body"/>
                          <w:spacing w:before="0" w:after="0" w:line="240" w:lineRule="auto"/>
                          <w:ind w:left="0"/>
                          <w:jc w:val="right"/>
                          <w:rPr>
                            <w:rFonts w:asciiTheme="minorHAnsi" w:hAnsiTheme="minorHAnsi" w:cstheme="minorHAnsi"/>
                            <w:color w:val="auto"/>
                            <w:sz w:val="18"/>
                            <w:szCs w:val="18"/>
                            <w:lang w:val="en-GB" w:bidi="en-US"/>
                          </w:rPr>
                        </w:pPr>
                        <w:r>
                          <w:rPr>
                            <w:rFonts w:asciiTheme="minorHAnsi" w:hAnsiTheme="minorHAnsi" w:cstheme="minorHAnsi"/>
                            <w:color w:val="auto"/>
                            <w:sz w:val="18"/>
                            <w:szCs w:val="18"/>
                            <w:lang w:val="en-GB" w:bidi="en-US"/>
                          </w:rPr>
                          <w:t>-</w:t>
                        </w:r>
                      </w:p>
                    </w:tc>
                    <w:tc>
                      <w:tcPr>
                        <w:tcW w:w="1093" w:type="dxa"/>
                      </w:tcPr>
                      <w:p w14:paraId="63675272" w14:textId="49EA8393" w:rsidR="007A6902" w:rsidRPr="00997EF7" w:rsidRDefault="007A6902" w:rsidP="007A6902">
                        <w:pPr>
                          <w:pStyle w:val="Body"/>
                          <w:spacing w:before="0" w:after="0" w:line="240" w:lineRule="auto"/>
                          <w:ind w:left="0"/>
                          <w:jc w:val="right"/>
                          <w:rPr>
                            <w:rFonts w:asciiTheme="minorHAnsi" w:hAnsiTheme="minorHAnsi" w:cstheme="minorHAnsi"/>
                            <w:color w:val="auto"/>
                            <w:sz w:val="18"/>
                            <w:szCs w:val="18"/>
                            <w:lang w:val="en-GB" w:bidi="en-US"/>
                          </w:rPr>
                        </w:pPr>
                        <w:r>
                          <w:rPr>
                            <w:rFonts w:asciiTheme="minorHAnsi" w:hAnsiTheme="minorHAnsi" w:cstheme="minorHAnsi"/>
                            <w:color w:val="auto"/>
                            <w:sz w:val="18"/>
                            <w:szCs w:val="18"/>
                            <w:lang w:val="en-GB" w:bidi="en-US"/>
                          </w:rPr>
                          <w:t>5,500</w:t>
                        </w:r>
                      </w:p>
                    </w:tc>
                  </w:tr>
                  <w:tr w:rsidR="007A6902" w:rsidRPr="002B0E71" w14:paraId="73E1F3DB" w14:textId="77777777" w:rsidTr="00997EF7">
                    <w:tc>
                      <w:tcPr>
                        <w:tcW w:w="2835" w:type="dxa"/>
                        <w:tcBorders>
                          <w:bottom w:val="double" w:sz="4" w:space="0" w:color="auto"/>
                        </w:tcBorders>
                      </w:tcPr>
                      <w:p w14:paraId="6E2A484B" w14:textId="77777777" w:rsidR="007A6902" w:rsidRPr="00997EF7" w:rsidRDefault="007A6902" w:rsidP="007A6902">
                        <w:pPr>
                          <w:pStyle w:val="Body"/>
                          <w:spacing w:before="0" w:after="0" w:line="240" w:lineRule="auto"/>
                          <w:ind w:left="0"/>
                          <w:jc w:val="both"/>
                          <w:rPr>
                            <w:rFonts w:asciiTheme="minorHAnsi" w:hAnsiTheme="minorHAnsi" w:cstheme="minorHAnsi"/>
                            <w:color w:val="auto"/>
                            <w:sz w:val="18"/>
                            <w:szCs w:val="18"/>
                            <w:lang w:val="en-GB" w:bidi="en-US"/>
                          </w:rPr>
                        </w:pPr>
                        <w:r w:rsidRPr="00997EF7">
                          <w:rPr>
                            <w:rFonts w:asciiTheme="minorHAnsi" w:hAnsiTheme="minorHAnsi" w:cstheme="minorHAnsi"/>
                            <w:color w:val="auto"/>
                            <w:sz w:val="18"/>
                            <w:szCs w:val="18"/>
                            <w:lang w:val="en-GB" w:bidi="en-US"/>
                          </w:rPr>
                          <w:t>CNY’000</w:t>
                        </w:r>
                      </w:p>
                    </w:tc>
                    <w:tc>
                      <w:tcPr>
                        <w:tcW w:w="1093" w:type="dxa"/>
                        <w:tcBorders>
                          <w:bottom w:val="double" w:sz="4" w:space="0" w:color="auto"/>
                        </w:tcBorders>
                      </w:tcPr>
                      <w:p w14:paraId="672467B2" w14:textId="629F84D3" w:rsidR="007A6902" w:rsidRPr="00997EF7" w:rsidRDefault="007A6902" w:rsidP="007A6902">
                        <w:pPr>
                          <w:pStyle w:val="Body"/>
                          <w:spacing w:before="0" w:after="0" w:line="240" w:lineRule="auto"/>
                          <w:ind w:left="0"/>
                          <w:jc w:val="right"/>
                          <w:rPr>
                            <w:rFonts w:asciiTheme="minorHAnsi" w:hAnsiTheme="minorHAnsi" w:cstheme="minorHAnsi"/>
                            <w:color w:val="auto"/>
                            <w:sz w:val="18"/>
                            <w:szCs w:val="18"/>
                            <w:lang w:val="en-GB" w:bidi="en-US"/>
                          </w:rPr>
                        </w:pPr>
                        <w:r>
                          <w:rPr>
                            <w:rFonts w:asciiTheme="minorHAnsi" w:hAnsiTheme="minorHAnsi" w:cstheme="minorHAnsi"/>
                            <w:color w:val="auto"/>
                            <w:sz w:val="18"/>
                            <w:szCs w:val="18"/>
                            <w:lang w:val="en-GB" w:bidi="en-US"/>
                          </w:rPr>
                          <w:t>1</w:t>
                        </w:r>
                        <w:r w:rsidR="00AA14D9">
                          <w:rPr>
                            <w:rFonts w:asciiTheme="minorHAnsi" w:hAnsiTheme="minorHAnsi" w:cstheme="minorHAnsi"/>
                            <w:color w:val="auto"/>
                            <w:sz w:val="18"/>
                            <w:szCs w:val="18"/>
                            <w:lang w:val="en-GB" w:bidi="en-US"/>
                          </w:rPr>
                          <w:t>,</w:t>
                        </w:r>
                        <w:r>
                          <w:rPr>
                            <w:rFonts w:asciiTheme="minorHAnsi" w:hAnsiTheme="minorHAnsi" w:cstheme="minorHAnsi"/>
                            <w:color w:val="auto"/>
                            <w:sz w:val="18"/>
                            <w:szCs w:val="18"/>
                            <w:lang w:val="en-GB" w:bidi="en-US"/>
                          </w:rPr>
                          <w:t>431</w:t>
                        </w:r>
                      </w:p>
                    </w:tc>
                    <w:tc>
                      <w:tcPr>
                        <w:tcW w:w="1093" w:type="dxa"/>
                        <w:tcBorders>
                          <w:bottom w:val="double" w:sz="4" w:space="0" w:color="auto"/>
                        </w:tcBorders>
                      </w:tcPr>
                      <w:p w14:paraId="7AAAFAA4" w14:textId="5EC15DFE" w:rsidR="007A6902" w:rsidRPr="00997EF7" w:rsidRDefault="007A6902" w:rsidP="007A6902">
                        <w:pPr>
                          <w:pStyle w:val="Body"/>
                          <w:spacing w:before="0" w:after="0" w:line="240" w:lineRule="auto"/>
                          <w:ind w:left="0"/>
                          <w:jc w:val="right"/>
                          <w:rPr>
                            <w:rFonts w:asciiTheme="minorHAnsi" w:hAnsiTheme="minorHAnsi" w:cstheme="minorHAnsi"/>
                            <w:color w:val="auto"/>
                            <w:sz w:val="18"/>
                            <w:szCs w:val="18"/>
                            <w:lang w:val="en-GB" w:bidi="en-US"/>
                          </w:rPr>
                        </w:pPr>
                        <w:r>
                          <w:rPr>
                            <w:rFonts w:asciiTheme="minorHAnsi" w:hAnsiTheme="minorHAnsi" w:cstheme="minorHAnsi"/>
                            <w:color w:val="auto"/>
                            <w:sz w:val="18"/>
                            <w:szCs w:val="18"/>
                            <w:lang w:val="en-GB" w:bidi="en-US"/>
                          </w:rPr>
                          <w:t>-</w:t>
                        </w:r>
                      </w:p>
                    </w:tc>
                    <w:tc>
                      <w:tcPr>
                        <w:tcW w:w="1093" w:type="dxa"/>
                        <w:tcBorders>
                          <w:bottom w:val="double" w:sz="4" w:space="0" w:color="auto"/>
                        </w:tcBorders>
                      </w:tcPr>
                      <w:p w14:paraId="3595D08F" w14:textId="154BF406" w:rsidR="007A6902" w:rsidRPr="002B0E71" w:rsidRDefault="00492492" w:rsidP="007A6902">
                        <w:pPr>
                          <w:pStyle w:val="Body"/>
                          <w:spacing w:before="0" w:after="0" w:line="240" w:lineRule="auto"/>
                          <w:ind w:left="0"/>
                          <w:jc w:val="right"/>
                          <w:rPr>
                            <w:rFonts w:asciiTheme="minorHAnsi" w:hAnsiTheme="minorHAnsi" w:cstheme="minorHAnsi"/>
                            <w:color w:val="auto"/>
                            <w:sz w:val="18"/>
                            <w:szCs w:val="18"/>
                            <w:lang w:val="en-GB" w:bidi="en-US"/>
                          </w:rPr>
                        </w:pPr>
                        <w:r>
                          <w:rPr>
                            <w:rFonts w:asciiTheme="minorHAnsi" w:hAnsiTheme="minorHAnsi" w:cstheme="minorHAnsi"/>
                            <w:color w:val="auto"/>
                            <w:sz w:val="18"/>
                            <w:szCs w:val="18"/>
                            <w:lang w:val="en-GB" w:bidi="en-US"/>
                          </w:rPr>
                          <w:t>3,430</w:t>
                        </w:r>
                      </w:p>
                    </w:tc>
                    <w:tc>
                      <w:tcPr>
                        <w:tcW w:w="1093" w:type="dxa"/>
                        <w:tcBorders>
                          <w:bottom w:val="double" w:sz="4" w:space="0" w:color="auto"/>
                        </w:tcBorders>
                      </w:tcPr>
                      <w:p w14:paraId="5447DDF9" w14:textId="01633695" w:rsidR="007A6902" w:rsidRPr="002B0E71" w:rsidRDefault="00492492" w:rsidP="007A6902">
                        <w:pPr>
                          <w:pStyle w:val="Body"/>
                          <w:spacing w:before="0" w:after="0" w:line="240" w:lineRule="auto"/>
                          <w:ind w:left="0"/>
                          <w:jc w:val="right"/>
                          <w:rPr>
                            <w:rFonts w:asciiTheme="minorHAnsi" w:hAnsiTheme="minorHAnsi" w:cstheme="minorHAnsi"/>
                            <w:color w:val="auto"/>
                            <w:sz w:val="18"/>
                            <w:szCs w:val="18"/>
                            <w:lang w:val="en-GB" w:bidi="en-US"/>
                          </w:rPr>
                        </w:pPr>
                        <w:r>
                          <w:rPr>
                            <w:rFonts w:asciiTheme="minorHAnsi" w:hAnsiTheme="minorHAnsi" w:cstheme="minorHAnsi"/>
                            <w:color w:val="auto"/>
                            <w:sz w:val="18"/>
                            <w:szCs w:val="18"/>
                            <w:lang w:val="en-GB" w:bidi="en-US"/>
                          </w:rPr>
                          <w:t>-</w:t>
                        </w:r>
                      </w:p>
                    </w:tc>
                    <w:tc>
                      <w:tcPr>
                        <w:tcW w:w="1093" w:type="dxa"/>
                        <w:tcBorders>
                          <w:bottom w:val="double" w:sz="4" w:space="0" w:color="auto"/>
                        </w:tcBorders>
                      </w:tcPr>
                      <w:p w14:paraId="7840CDEA" w14:textId="2BFCA787" w:rsidR="007A6902" w:rsidRPr="007A6902" w:rsidRDefault="007A6902" w:rsidP="007A6902">
                        <w:pPr>
                          <w:pStyle w:val="Body"/>
                          <w:spacing w:before="0" w:after="0" w:line="240" w:lineRule="auto"/>
                          <w:ind w:left="0"/>
                          <w:jc w:val="right"/>
                          <w:rPr>
                            <w:rFonts w:asciiTheme="minorHAnsi" w:hAnsiTheme="minorHAnsi" w:cstheme="minorHAnsi"/>
                            <w:color w:val="auto"/>
                            <w:sz w:val="18"/>
                            <w:szCs w:val="18"/>
                            <w:lang w:val="en-GB" w:bidi="en-US"/>
                          </w:rPr>
                        </w:pPr>
                        <w:r>
                          <w:rPr>
                            <w:rFonts w:asciiTheme="minorHAnsi" w:hAnsiTheme="minorHAnsi" w:cstheme="minorHAnsi"/>
                            <w:color w:val="auto"/>
                            <w:sz w:val="18"/>
                            <w:szCs w:val="18"/>
                            <w:lang w:val="en-GB" w:bidi="en-US"/>
                          </w:rPr>
                          <w:t>2,459</w:t>
                        </w:r>
                      </w:p>
                    </w:tc>
                    <w:tc>
                      <w:tcPr>
                        <w:tcW w:w="1093" w:type="dxa"/>
                        <w:tcBorders>
                          <w:bottom w:val="double" w:sz="4" w:space="0" w:color="auto"/>
                        </w:tcBorders>
                      </w:tcPr>
                      <w:p w14:paraId="0C5E63C3" w14:textId="71C90789" w:rsidR="007A6902" w:rsidRPr="00997EF7" w:rsidRDefault="007A6902" w:rsidP="007A6902">
                        <w:pPr>
                          <w:pStyle w:val="Body"/>
                          <w:spacing w:before="0" w:after="0" w:line="240" w:lineRule="auto"/>
                          <w:ind w:left="0"/>
                          <w:jc w:val="right"/>
                          <w:rPr>
                            <w:rFonts w:asciiTheme="minorHAnsi" w:hAnsiTheme="minorHAnsi" w:cstheme="minorHAnsi"/>
                            <w:color w:val="auto"/>
                            <w:sz w:val="18"/>
                            <w:szCs w:val="18"/>
                            <w:lang w:val="en-GB" w:bidi="en-US"/>
                          </w:rPr>
                        </w:pPr>
                        <w:r>
                          <w:rPr>
                            <w:rFonts w:asciiTheme="minorHAnsi" w:hAnsiTheme="minorHAnsi" w:cstheme="minorHAnsi"/>
                            <w:color w:val="auto"/>
                            <w:sz w:val="18"/>
                            <w:szCs w:val="18"/>
                            <w:lang w:val="en-GB" w:bidi="en-US"/>
                          </w:rPr>
                          <w:t>-</w:t>
                        </w:r>
                      </w:p>
                    </w:tc>
                  </w:tr>
                </w:tbl>
                <w:p w14:paraId="3E550308" w14:textId="77777777" w:rsidR="002B0E71" w:rsidRPr="007B4ABA" w:rsidRDefault="002B0E71" w:rsidP="002B0E71">
                  <w:pPr>
                    <w:pStyle w:val="Body"/>
                    <w:spacing w:before="0" w:after="0" w:line="240" w:lineRule="auto"/>
                    <w:ind w:left="0"/>
                    <w:jc w:val="both"/>
                    <w:rPr>
                      <w:rFonts w:asciiTheme="minorHAnsi" w:hAnsiTheme="minorHAnsi" w:cstheme="minorHAnsi"/>
                      <w:color w:val="auto"/>
                      <w:sz w:val="18"/>
                      <w:szCs w:val="18"/>
                      <w:lang w:val="en-GB" w:bidi="en-US"/>
                    </w:rPr>
                  </w:pPr>
                </w:p>
                <w:p w14:paraId="3CBE685B" w14:textId="77777777" w:rsidR="002B0E71" w:rsidRPr="00997EF7" w:rsidRDefault="002B0E71" w:rsidP="0047121F">
                  <w:pPr>
                    <w:pStyle w:val="DecimalAligned"/>
                    <w:widowControl w:val="0"/>
                    <w:tabs>
                      <w:tab w:val="clear" w:pos="360"/>
                      <w:tab w:val="left" w:pos="352"/>
                      <w:tab w:val="left" w:pos="464"/>
                    </w:tabs>
                    <w:autoSpaceDE w:val="0"/>
                    <w:autoSpaceDN w:val="0"/>
                    <w:adjustRightInd w:val="0"/>
                    <w:spacing w:after="0" w:line="240" w:lineRule="auto"/>
                    <w:jc w:val="both"/>
                    <w:rPr>
                      <w:rFonts w:asciiTheme="minorHAnsi" w:hAnsiTheme="minorHAnsi" w:cstheme="minorHAnsi"/>
                      <w:color w:val="000000"/>
                      <w:sz w:val="18"/>
                      <w:szCs w:val="18"/>
                    </w:rPr>
                  </w:pPr>
                </w:p>
                <w:p w14:paraId="4CC7408A" w14:textId="0D829188" w:rsidR="00886D90" w:rsidRPr="00997EF7" w:rsidRDefault="00F2332A" w:rsidP="0047121F">
                  <w:pPr>
                    <w:pStyle w:val="DecimalAligned"/>
                    <w:widowControl w:val="0"/>
                    <w:tabs>
                      <w:tab w:val="clear" w:pos="360"/>
                      <w:tab w:val="left" w:pos="352"/>
                      <w:tab w:val="left" w:pos="464"/>
                    </w:tabs>
                    <w:autoSpaceDE w:val="0"/>
                    <w:autoSpaceDN w:val="0"/>
                    <w:adjustRightInd w:val="0"/>
                    <w:spacing w:after="0" w:line="240" w:lineRule="auto"/>
                    <w:jc w:val="both"/>
                    <w:rPr>
                      <w:rFonts w:asciiTheme="minorHAnsi" w:hAnsiTheme="minorHAnsi" w:cstheme="minorHAnsi"/>
                      <w:color w:val="000000"/>
                      <w:sz w:val="18"/>
                      <w:szCs w:val="18"/>
                    </w:rPr>
                  </w:pPr>
                  <w:proofErr w:type="gramStart"/>
                  <w:r w:rsidRPr="00997EF7">
                    <w:rPr>
                      <w:rFonts w:asciiTheme="minorHAnsi" w:hAnsiTheme="minorHAnsi" w:cstheme="minorHAnsi"/>
                      <w:color w:val="000000"/>
                      <w:sz w:val="18"/>
                      <w:szCs w:val="18"/>
                    </w:rPr>
                    <w:t>At</w:t>
                  </w:r>
                  <w:proofErr w:type="gramEnd"/>
                  <w:r w:rsidRPr="00997EF7">
                    <w:rPr>
                      <w:rFonts w:asciiTheme="minorHAnsi" w:hAnsiTheme="minorHAnsi" w:cstheme="minorHAnsi"/>
                      <w:color w:val="000000"/>
                      <w:sz w:val="18"/>
                      <w:szCs w:val="18"/>
                    </w:rPr>
                    <w:t xml:space="preserve"> 31 January 20</w:t>
                  </w:r>
                  <w:r w:rsidR="0047121F" w:rsidRPr="00997EF7">
                    <w:rPr>
                      <w:rFonts w:asciiTheme="minorHAnsi" w:hAnsiTheme="minorHAnsi" w:cstheme="minorHAnsi"/>
                      <w:color w:val="000000"/>
                      <w:sz w:val="18"/>
                      <w:szCs w:val="18"/>
                    </w:rPr>
                    <w:t>23</w:t>
                  </w:r>
                  <w:r w:rsidR="001739EB" w:rsidRPr="00997EF7">
                    <w:rPr>
                      <w:rFonts w:asciiTheme="minorHAnsi" w:hAnsiTheme="minorHAnsi" w:cstheme="minorHAnsi"/>
                      <w:color w:val="000000"/>
                      <w:sz w:val="18"/>
                      <w:szCs w:val="18"/>
                    </w:rPr>
                    <w:t>, al</w:t>
                  </w:r>
                  <w:r w:rsidRPr="00997EF7">
                    <w:rPr>
                      <w:rFonts w:asciiTheme="minorHAnsi" w:hAnsiTheme="minorHAnsi" w:cstheme="minorHAnsi"/>
                      <w:color w:val="000000"/>
                      <w:sz w:val="18"/>
                      <w:szCs w:val="18"/>
                    </w:rPr>
                    <w:t>l the outstanding USD, EUR and PLN</w:t>
                  </w:r>
                  <w:r w:rsidR="001739EB" w:rsidRPr="00997EF7">
                    <w:rPr>
                      <w:rFonts w:asciiTheme="minorHAnsi" w:hAnsiTheme="minorHAnsi" w:cstheme="minorHAnsi"/>
                      <w:color w:val="000000"/>
                      <w:sz w:val="18"/>
                      <w:szCs w:val="18"/>
                    </w:rPr>
                    <w:t xml:space="preserve"> contracts mature within 12 months of the period end (31 </w:t>
                  </w:r>
                  <w:r w:rsidRPr="00997EF7">
                    <w:rPr>
                      <w:rFonts w:asciiTheme="minorHAnsi" w:hAnsiTheme="minorHAnsi" w:cstheme="minorHAnsi"/>
                      <w:color w:val="000000"/>
                      <w:sz w:val="18"/>
                      <w:szCs w:val="18"/>
                    </w:rPr>
                    <w:t>January 20</w:t>
                  </w:r>
                  <w:r w:rsidR="0047121F" w:rsidRPr="00997EF7">
                    <w:rPr>
                      <w:rFonts w:asciiTheme="minorHAnsi" w:hAnsiTheme="minorHAnsi" w:cstheme="minorHAnsi"/>
                      <w:color w:val="000000"/>
                      <w:sz w:val="18"/>
                      <w:szCs w:val="18"/>
                    </w:rPr>
                    <w:t>22</w:t>
                  </w:r>
                  <w:r w:rsidR="008431B9" w:rsidRPr="00997EF7">
                    <w:rPr>
                      <w:rFonts w:asciiTheme="minorHAnsi" w:hAnsiTheme="minorHAnsi" w:cstheme="minorHAnsi"/>
                      <w:color w:val="000000"/>
                      <w:sz w:val="18"/>
                      <w:szCs w:val="18"/>
                    </w:rPr>
                    <w:t>:</w:t>
                  </w:r>
                  <w:r w:rsidRPr="00997EF7">
                    <w:rPr>
                      <w:rFonts w:asciiTheme="minorHAnsi" w:hAnsiTheme="minorHAnsi" w:cstheme="minorHAnsi"/>
                      <w:color w:val="000000"/>
                      <w:sz w:val="18"/>
                      <w:szCs w:val="18"/>
                    </w:rPr>
                    <w:t xml:space="preserve"> 12 months; 31 July 20</w:t>
                  </w:r>
                  <w:r w:rsidR="0047121F" w:rsidRPr="00997EF7">
                    <w:rPr>
                      <w:rFonts w:asciiTheme="minorHAnsi" w:hAnsiTheme="minorHAnsi" w:cstheme="minorHAnsi"/>
                      <w:color w:val="000000"/>
                      <w:sz w:val="18"/>
                      <w:szCs w:val="18"/>
                    </w:rPr>
                    <w:t>22</w:t>
                  </w:r>
                  <w:r w:rsidR="008431B9" w:rsidRPr="00997EF7">
                    <w:rPr>
                      <w:rFonts w:asciiTheme="minorHAnsi" w:hAnsiTheme="minorHAnsi" w:cstheme="minorHAnsi"/>
                      <w:color w:val="000000"/>
                      <w:sz w:val="18"/>
                      <w:szCs w:val="18"/>
                    </w:rPr>
                    <w:t>:</w:t>
                  </w:r>
                  <w:r w:rsidR="001739EB" w:rsidRPr="00997EF7">
                    <w:rPr>
                      <w:rFonts w:asciiTheme="minorHAnsi" w:hAnsiTheme="minorHAnsi" w:cstheme="minorHAnsi"/>
                      <w:color w:val="000000"/>
                      <w:sz w:val="18"/>
                      <w:szCs w:val="18"/>
                    </w:rPr>
                    <w:t xml:space="preserve"> 12 months). The CNY currency contracts, which are held to hedge a lease commitment, mature over the length of that lease ending in August 2023. </w:t>
                  </w:r>
                  <w:r w:rsidR="0024431F" w:rsidRPr="00997EF7">
                    <w:rPr>
                      <w:rFonts w:asciiTheme="minorHAnsi" w:hAnsiTheme="minorHAnsi" w:cstheme="minorHAnsi"/>
                      <w:color w:val="000000"/>
                      <w:sz w:val="18"/>
                      <w:szCs w:val="18"/>
                    </w:rPr>
                    <w:t xml:space="preserve">The forward currency contracts are measured at fair value using the relevant exchange rates for </w:t>
                  </w:r>
                  <w:proofErr w:type="gramStart"/>
                  <w:r w:rsidR="0024431F" w:rsidRPr="00997EF7">
                    <w:rPr>
                      <w:rFonts w:asciiTheme="minorHAnsi" w:hAnsiTheme="minorHAnsi" w:cstheme="minorHAnsi"/>
                      <w:color w:val="000000"/>
                      <w:sz w:val="18"/>
                      <w:szCs w:val="18"/>
                    </w:rPr>
                    <w:t>GBP:USD</w:t>
                  </w:r>
                  <w:proofErr w:type="gramEnd"/>
                  <w:r w:rsidR="0024431F" w:rsidRPr="00997EF7">
                    <w:rPr>
                      <w:rFonts w:asciiTheme="minorHAnsi" w:hAnsiTheme="minorHAnsi" w:cstheme="minorHAnsi"/>
                      <w:color w:val="000000"/>
                      <w:sz w:val="18"/>
                      <w:szCs w:val="18"/>
                    </w:rPr>
                    <w:t>, GBP:EUR</w:t>
                  </w:r>
                  <w:r w:rsidR="00C47BF8" w:rsidRPr="00997EF7">
                    <w:rPr>
                      <w:rFonts w:asciiTheme="minorHAnsi" w:hAnsiTheme="minorHAnsi" w:cstheme="minorHAnsi"/>
                      <w:color w:val="000000"/>
                      <w:sz w:val="18"/>
                      <w:szCs w:val="18"/>
                    </w:rPr>
                    <w:t>, GBP:CNY</w:t>
                  </w:r>
                  <w:r w:rsidR="0024431F" w:rsidRPr="00997EF7">
                    <w:rPr>
                      <w:rFonts w:asciiTheme="minorHAnsi" w:hAnsiTheme="minorHAnsi" w:cstheme="minorHAnsi"/>
                      <w:color w:val="000000"/>
                      <w:sz w:val="18"/>
                      <w:szCs w:val="18"/>
                    </w:rPr>
                    <w:t xml:space="preserve"> and GBP:</w:t>
                  </w:r>
                  <w:r w:rsidRPr="00997EF7">
                    <w:rPr>
                      <w:rFonts w:asciiTheme="minorHAnsi" w:hAnsiTheme="minorHAnsi" w:cstheme="minorHAnsi"/>
                      <w:color w:val="000000"/>
                      <w:sz w:val="18"/>
                      <w:szCs w:val="18"/>
                    </w:rPr>
                    <w:t>PLN</w:t>
                  </w:r>
                  <w:r w:rsidR="0024431F" w:rsidRPr="00997EF7">
                    <w:rPr>
                      <w:rFonts w:asciiTheme="minorHAnsi" w:hAnsiTheme="minorHAnsi" w:cstheme="minorHAnsi"/>
                      <w:color w:val="000000"/>
                      <w:sz w:val="18"/>
                      <w:szCs w:val="18"/>
                    </w:rPr>
                    <w:t>. The fair value of</w:t>
                  </w:r>
                  <w:r w:rsidR="00237A83" w:rsidRPr="00997EF7">
                    <w:rPr>
                      <w:rFonts w:asciiTheme="minorHAnsi" w:hAnsiTheme="minorHAnsi" w:cstheme="minorHAnsi"/>
                      <w:color w:val="000000"/>
                      <w:sz w:val="18"/>
                      <w:szCs w:val="18"/>
                    </w:rPr>
                    <w:t xml:space="preserve"> the contracts </w:t>
                  </w:r>
                  <w:proofErr w:type="gramStart"/>
                  <w:r w:rsidR="00237A83" w:rsidRPr="00997EF7">
                    <w:rPr>
                      <w:rFonts w:asciiTheme="minorHAnsi" w:hAnsiTheme="minorHAnsi" w:cstheme="minorHAnsi"/>
                      <w:color w:val="000000"/>
                      <w:sz w:val="18"/>
                      <w:szCs w:val="18"/>
                    </w:rPr>
                    <w:t>at</w:t>
                  </w:r>
                  <w:proofErr w:type="gramEnd"/>
                  <w:r w:rsidR="00237A83" w:rsidRPr="00997EF7">
                    <w:rPr>
                      <w:rFonts w:asciiTheme="minorHAnsi" w:hAnsiTheme="minorHAnsi" w:cstheme="minorHAnsi"/>
                      <w:color w:val="000000"/>
                      <w:sz w:val="18"/>
                      <w:szCs w:val="18"/>
                    </w:rPr>
                    <w:t xml:space="preserve"> 31 January 20</w:t>
                  </w:r>
                  <w:r w:rsidR="0047121F" w:rsidRPr="00997EF7">
                    <w:rPr>
                      <w:rFonts w:asciiTheme="minorHAnsi" w:hAnsiTheme="minorHAnsi" w:cstheme="minorHAnsi"/>
                      <w:color w:val="000000"/>
                      <w:sz w:val="18"/>
                      <w:szCs w:val="18"/>
                    </w:rPr>
                    <w:t>23</w:t>
                  </w:r>
                  <w:r w:rsidR="0024431F" w:rsidRPr="00997EF7">
                    <w:rPr>
                      <w:rFonts w:asciiTheme="minorHAnsi" w:hAnsiTheme="minorHAnsi" w:cstheme="minorHAnsi"/>
                      <w:color w:val="000000"/>
                      <w:sz w:val="18"/>
                      <w:szCs w:val="18"/>
                    </w:rPr>
                    <w:t xml:space="preserve"> is a</w:t>
                  </w:r>
                  <w:r w:rsidR="00783808" w:rsidRPr="00997EF7">
                    <w:rPr>
                      <w:rFonts w:asciiTheme="minorHAnsi" w:hAnsiTheme="minorHAnsi" w:cstheme="minorHAnsi"/>
                      <w:color w:val="000000"/>
                      <w:sz w:val="18"/>
                      <w:szCs w:val="18"/>
                    </w:rPr>
                    <w:t xml:space="preserve"> </w:t>
                  </w:r>
                  <w:r w:rsidR="00EE61E7" w:rsidRPr="00997EF7">
                    <w:rPr>
                      <w:rFonts w:asciiTheme="minorHAnsi" w:hAnsiTheme="minorHAnsi" w:cstheme="minorHAnsi"/>
                      <w:color w:val="000000"/>
                      <w:sz w:val="18"/>
                      <w:szCs w:val="18"/>
                    </w:rPr>
                    <w:t>liability</w:t>
                  </w:r>
                  <w:r w:rsidR="0024431F" w:rsidRPr="00997EF7">
                    <w:rPr>
                      <w:rFonts w:asciiTheme="minorHAnsi" w:hAnsiTheme="minorHAnsi" w:cstheme="minorHAnsi"/>
                      <w:color w:val="000000"/>
                      <w:sz w:val="18"/>
                      <w:szCs w:val="18"/>
                    </w:rPr>
                    <w:t xml:space="preserve"> of £</w:t>
                  </w:r>
                  <w:r w:rsidR="00EE61E7" w:rsidRPr="00997EF7">
                    <w:rPr>
                      <w:rFonts w:asciiTheme="minorHAnsi" w:hAnsiTheme="minorHAnsi" w:cstheme="minorHAnsi"/>
                      <w:color w:val="000000"/>
                      <w:sz w:val="18"/>
                      <w:szCs w:val="18"/>
                    </w:rPr>
                    <w:t>60</w:t>
                  </w:r>
                  <w:r w:rsidR="008431B9" w:rsidRPr="00997EF7">
                    <w:rPr>
                      <w:rFonts w:asciiTheme="minorHAnsi" w:hAnsiTheme="minorHAnsi" w:cstheme="minorHAnsi"/>
                      <w:color w:val="000000"/>
                      <w:sz w:val="18"/>
                      <w:szCs w:val="18"/>
                    </w:rPr>
                    <w:t>5</w:t>
                  </w:r>
                  <w:r w:rsidR="00214131" w:rsidRPr="00997EF7">
                    <w:rPr>
                      <w:rFonts w:asciiTheme="minorHAnsi" w:hAnsiTheme="minorHAnsi" w:cstheme="minorHAnsi"/>
                      <w:color w:val="000000"/>
                      <w:sz w:val="18"/>
                      <w:szCs w:val="18"/>
                    </w:rPr>
                    <w:t>,000</w:t>
                  </w:r>
                  <w:r w:rsidR="0024431F" w:rsidRPr="00997EF7">
                    <w:rPr>
                      <w:rFonts w:asciiTheme="minorHAnsi" w:hAnsiTheme="minorHAnsi" w:cstheme="minorHAnsi"/>
                      <w:color w:val="000000"/>
                      <w:sz w:val="18"/>
                      <w:szCs w:val="18"/>
                    </w:rPr>
                    <w:t xml:space="preserve"> (31 January 20</w:t>
                  </w:r>
                  <w:r w:rsidR="0047121F" w:rsidRPr="00997EF7">
                    <w:rPr>
                      <w:rFonts w:asciiTheme="minorHAnsi" w:hAnsiTheme="minorHAnsi" w:cstheme="minorHAnsi"/>
                      <w:color w:val="000000"/>
                      <w:sz w:val="18"/>
                      <w:szCs w:val="18"/>
                    </w:rPr>
                    <w:t>22</w:t>
                  </w:r>
                  <w:r w:rsidR="008431B9" w:rsidRPr="00997EF7">
                    <w:rPr>
                      <w:rFonts w:asciiTheme="minorHAnsi" w:hAnsiTheme="minorHAnsi" w:cstheme="minorHAnsi"/>
                      <w:color w:val="000000"/>
                      <w:sz w:val="18"/>
                      <w:szCs w:val="18"/>
                    </w:rPr>
                    <w:t>:</w:t>
                  </w:r>
                  <w:r w:rsidR="005F529B" w:rsidRPr="00997EF7">
                    <w:rPr>
                      <w:rFonts w:asciiTheme="minorHAnsi" w:hAnsiTheme="minorHAnsi" w:cstheme="minorHAnsi"/>
                      <w:color w:val="000000"/>
                      <w:sz w:val="18"/>
                      <w:szCs w:val="18"/>
                    </w:rPr>
                    <w:t xml:space="preserve"> £</w:t>
                  </w:r>
                  <w:r w:rsidR="00D72D6B">
                    <w:rPr>
                      <w:rFonts w:asciiTheme="minorHAnsi" w:hAnsiTheme="minorHAnsi" w:cstheme="minorHAnsi"/>
                      <w:color w:val="000000"/>
                      <w:sz w:val="18"/>
                      <w:szCs w:val="18"/>
                    </w:rPr>
                    <w:t>1,024</w:t>
                  </w:r>
                  <w:r w:rsidR="005F529B" w:rsidRPr="00997EF7">
                    <w:rPr>
                      <w:rFonts w:asciiTheme="minorHAnsi" w:hAnsiTheme="minorHAnsi" w:cstheme="minorHAnsi"/>
                      <w:color w:val="000000"/>
                      <w:sz w:val="18"/>
                      <w:szCs w:val="18"/>
                    </w:rPr>
                    <w:t xml:space="preserve">,000 </w:t>
                  </w:r>
                  <w:r w:rsidR="00D72D6B">
                    <w:rPr>
                      <w:rFonts w:asciiTheme="minorHAnsi" w:hAnsiTheme="minorHAnsi" w:cstheme="minorHAnsi"/>
                      <w:color w:val="000000"/>
                      <w:sz w:val="18"/>
                      <w:szCs w:val="18"/>
                    </w:rPr>
                    <w:t>asset</w:t>
                  </w:r>
                  <w:r w:rsidR="005F529B" w:rsidRPr="00997EF7">
                    <w:rPr>
                      <w:rFonts w:asciiTheme="minorHAnsi" w:hAnsiTheme="minorHAnsi" w:cstheme="minorHAnsi"/>
                      <w:color w:val="000000"/>
                      <w:sz w:val="18"/>
                      <w:szCs w:val="18"/>
                    </w:rPr>
                    <w:t>; 31 July 20</w:t>
                  </w:r>
                  <w:r w:rsidR="0047121F" w:rsidRPr="00997EF7">
                    <w:rPr>
                      <w:rFonts w:asciiTheme="minorHAnsi" w:hAnsiTheme="minorHAnsi" w:cstheme="minorHAnsi"/>
                      <w:color w:val="000000"/>
                      <w:sz w:val="18"/>
                      <w:szCs w:val="18"/>
                    </w:rPr>
                    <w:t>22</w:t>
                  </w:r>
                  <w:r w:rsidR="008431B9" w:rsidRPr="00997EF7">
                    <w:rPr>
                      <w:rFonts w:asciiTheme="minorHAnsi" w:hAnsiTheme="minorHAnsi" w:cstheme="minorHAnsi"/>
                      <w:color w:val="000000"/>
                      <w:sz w:val="18"/>
                      <w:szCs w:val="18"/>
                    </w:rPr>
                    <w:t>:</w:t>
                  </w:r>
                  <w:r w:rsidR="0024431F" w:rsidRPr="00997EF7">
                    <w:rPr>
                      <w:rFonts w:asciiTheme="minorHAnsi" w:hAnsiTheme="minorHAnsi" w:cstheme="minorHAnsi"/>
                      <w:color w:val="000000"/>
                      <w:sz w:val="18"/>
                      <w:szCs w:val="18"/>
                    </w:rPr>
                    <w:t xml:space="preserve"> £</w:t>
                  </w:r>
                  <w:r w:rsidR="00EE61E7" w:rsidRPr="00997EF7">
                    <w:rPr>
                      <w:rFonts w:asciiTheme="minorHAnsi" w:hAnsiTheme="minorHAnsi" w:cstheme="minorHAnsi"/>
                      <w:color w:val="000000"/>
                      <w:sz w:val="18"/>
                      <w:szCs w:val="18"/>
                    </w:rPr>
                    <w:t>3,524,000</w:t>
                  </w:r>
                  <w:r w:rsidR="0024431F" w:rsidRPr="00997EF7">
                    <w:rPr>
                      <w:rFonts w:asciiTheme="minorHAnsi" w:hAnsiTheme="minorHAnsi" w:cstheme="minorHAnsi"/>
                      <w:color w:val="000000"/>
                      <w:sz w:val="18"/>
                      <w:szCs w:val="18"/>
                    </w:rPr>
                    <w:t xml:space="preserve"> </w:t>
                  </w:r>
                  <w:r w:rsidRPr="00997EF7">
                    <w:rPr>
                      <w:rFonts w:asciiTheme="minorHAnsi" w:hAnsiTheme="minorHAnsi" w:cstheme="minorHAnsi"/>
                      <w:color w:val="000000"/>
                      <w:sz w:val="18"/>
                      <w:szCs w:val="18"/>
                    </w:rPr>
                    <w:t>asset</w:t>
                  </w:r>
                  <w:r w:rsidR="0024431F" w:rsidRPr="00997EF7">
                    <w:rPr>
                      <w:rFonts w:asciiTheme="minorHAnsi" w:hAnsiTheme="minorHAnsi" w:cstheme="minorHAnsi"/>
                      <w:color w:val="000000"/>
                      <w:sz w:val="18"/>
                      <w:szCs w:val="18"/>
                    </w:rPr>
                    <w:t>).</w:t>
                  </w:r>
                </w:p>
                <w:p w14:paraId="1303DD68" w14:textId="77777777" w:rsidR="00AB3BFC" w:rsidRPr="00997EF7" w:rsidRDefault="00AB3BFC" w:rsidP="0047121F">
                  <w:pPr>
                    <w:pStyle w:val="DecimalAligned"/>
                    <w:widowControl w:val="0"/>
                    <w:tabs>
                      <w:tab w:val="clear" w:pos="360"/>
                      <w:tab w:val="left" w:pos="352"/>
                      <w:tab w:val="left" w:pos="464"/>
                    </w:tabs>
                    <w:autoSpaceDE w:val="0"/>
                    <w:autoSpaceDN w:val="0"/>
                    <w:adjustRightInd w:val="0"/>
                    <w:spacing w:after="0" w:line="240" w:lineRule="auto"/>
                    <w:jc w:val="both"/>
                    <w:rPr>
                      <w:rFonts w:asciiTheme="minorHAnsi" w:hAnsiTheme="minorHAnsi" w:cstheme="minorHAnsi"/>
                      <w:color w:val="000000"/>
                      <w:sz w:val="18"/>
                      <w:szCs w:val="18"/>
                    </w:rPr>
                  </w:pPr>
                </w:p>
                <w:p w14:paraId="16518825" w14:textId="77777777" w:rsidR="002D56F6" w:rsidRPr="00997EF7" w:rsidRDefault="005A3FC6" w:rsidP="0047121F">
                  <w:pPr>
                    <w:autoSpaceDE w:val="0"/>
                    <w:autoSpaceDN w:val="0"/>
                    <w:adjustRightInd w:val="0"/>
                    <w:spacing w:after="0" w:line="240" w:lineRule="auto"/>
                    <w:jc w:val="both"/>
                    <w:rPr>
                      <w:rFonts w:asciiTheme="minorHAnsi" w:hAnsiTheme="minorHAnsi" w:cstheme="minorHAnsi"/>
                      <w:color w:val="000000"/>
                      <w:sz w:val="18"/>
                      <w:szCs w:val="18"/>
                    </w:rPr>
                  </w:pPr>
                  <w:r w:rsidRPr="00997EF7">
                    <w:rPr>
                      <w:rFonts w:asciiTheme="minorHAnsi" w:hAnsiTheme="minorHAnsi" w:cstheme="minorHAnsi"/>
                      <w:color w:val="000000"/>
                      <w:sz w:val="18"/>
                      <w:szCs w:val="18"/>
                      <w:lang w:val="en-US"/>
                    </w:rPr>
                    <w:t>Forward currency contracts are valued using level 2 inputs. The valuations are calculated using the period end exchange rates for the relevant currencies which are observable quoted values at the period end dates. Valuations are determined using the hypothetical derivative method</w:t>
                  </w:r>
                  <w:r w:rsidR="005701F9" w:rsidRPr="00997EF7">
                    <w:rPr>
                      <w:rFonts w:asciiTheme="minorHAnsi" w:hAnsiTheme="minorHAnsi" w:cstheme="minorHAnsi"/>
                      <w:color w:val="000000"/>
                      <w:sz w:val="18"/>
                      <w:szCs w:val="18"/>
                      <w:lang w:val="en-US"/>
                    </w:rPr>
                    <w:t>,</w:t>
                  </w:r>
                  <w:r w:rsidRPr="00997EF7">
                    <w:rPr>
                      <w:rFonts w:asciiTheme="minorHAnsi" w:hAnsiTheme="minorHAnsi" w:cstheme="minorHAnsi"/>
                      <w:color w:val="000000"/>
                      <w:sz w:val="18"/>
                      <w:szCs w:val="18"/>
                      <w:lang w:val="en-US"/>
                    </w:rPr>
                    <w:t xml:space="preserve"> which values the contracts based on the changes in the future cash</w:t>
                  </w:r>
                  <w:r w:rsidR="00D51566" w:rsidRPr="00997EF7">
                    <w:rPr>
                      <w:rFonts w:asciiTheme="minorHAnsi" w:hAnsiTheme="minorHAnsi" w:cstheme="minorHAnsi"/>
                      <w:color w:val="000000"/>
                      <w:sz w:val="18"/>
                      <w:szCs w:val="18"/>
                      <w:lang w:val="en-US"/>
                    </w:rPr>
                    <w:t xml:space="preserve"> </w:t>
                  </w:r>
                  <w:r w:rsidRPr="00997EF7">
                    <w:rPr>
                      <w:rFonts w:asciiTheme="minorHAnsi" w:hAnsiTheme="minorHAnsi" w:cstheme="minorHAnsi"/>
                      <w:color w:val="000000"/>
                      <w:sz w:val="18"/>
                      <w:szCs w:val="18"/>
                      <w:lang w:val="en-US"/>
                    </w:rPr>
                    <w:t>flows</w:t>
                  </w:r>
                  <w:r w:rsidR="005701F9" w:rsidRPr="00997EF7">
                    <w:rPr>
                      <w:rFonts w:asciiTheme="minorHAnsi" w:hAnsiTheme="minorHAnsi" w:cstheme="minorHAnsi"/>
                      <w:color w:val="000000"/>
                      <w:sz w:val="18"/>
                      <w:szCs w:val="18"/>
                      <w:lang w:val="en-US"/>
                    </w:rPr>
                    <w:t>,</w:t>
                  </w:r>
                  <w:r w:rsidRPr="00997EF7">
                    <w:rPr>
                      <w:rFonts w:asciiTheme="minorHAnsi" w:hAnsiTheme="minorHAnsi" w:cstheme="minorHAnsi"/>
                      <w:color w:val="000000"/>
                      <w:sz w:val="18"/>
                      <w:szCs w:val="18"/>
                      <w:lang w:val="en-US"/>
                    </w:rPr>
                    <w:t xml:space="preserve"> based on the change in value of the underlying </w:t>
                  </w:r>
                  <w:r w:rsidRPr="00997EF7">
                    <w:rPr>
                      <w:rFonts w:asciiTheme="minorHAnsi" w:hAnsiTheme="minorHAnsi" w:cstheme="minorHAnsi"/>
                      <w:color w:val="000000"/>
                      <w:sz w:val="18"/>
                      <w:szCs w:val="18"/>
                    </w:rPr>
                    <w:t>derivative.</w:t>
                  </w:r>
                  <w:r w:rsidR="002D56F6" w:rsidRPr="00997EF7">
                    <w:rPr>
                      <w:rFonts w:asciiTheme="minorHAnsi" w:hAnsiTheme="minorHAnsi" w:cstheme="minorHAnsi"/>
                      <w:color w:val="000000"/>
                      <w:sz w:val="18"/>
                      <w:szCs w:val="18"/>
                    </w:rPr>
                    <w:t xml:space="preserve"> </w:t>
                  </w:r>
                </w:p>
                <w:p w14:paraId="50E0B11B" w14:textId="77777777" w:rsidR="002D56F6" w:rsidRPr="00997EF7" w:rsidRDefault="002D56F6" w:rsidP="0047121F">
                  <w:pPr>
                    <w:autoSpaceDE w:val="0"/>
                    <w:autoSpaceDN w:val="0"/>
                    <w:adjustRightInd w:val="0"/>
                    <w:spacing w:after="0" w:line="240" w:lineRule="auto"/>
                    <w:jc w:val="both"/>
                    <w:rPr>
                      <w:rFonts w:asciiTheme="minorHAnsi" w:hAnsiTheme="minorHAnsi" w:cstheme="minorHAnsi"/>
                      <w:color w:val="000000"/>
                      <w:sz w:val="18"/>
                      <w:szCs w:val="18"/>
                    </w:rPr>
                  </w:pPr>
                </w:p>
                <w:p w14:paraId="56F74574" w14:textId="2C65E4DB" w:rsidR="005A3FC6" w:rsidRPr="00846EEE" w:rsidRDefault="002D56F6" w:rsidP="0047121F">
                  <w:pPr>
                    <w:autoSpaceDE w:val="0"/>
                    <w:autoSpaceDN w:val="0"/>
                    <w:adjustRightInd w:val="0"/>
                    <w:spacing w:after="0" w:line="240" w:lineRule="auto"/>
                    <w:jc w:val="both"/>
                    <w:rPr>
                      <w:rFonts w:asciiTheme="minorHAnsi" w:hAnsiTheme="minorHAnsi" w:cstheme="minorHAnsi"/>
                      <w:color w:val="000000"/>
                      <w:sz w:val="18"/>
                      <w:szCs w:val="18"/>
                    </w:rPr>
                  </w:pPr>
                  <w:proofErr w:type="gramStart"/>
                  <w:r w:rsidRPr="00997EF7">
                    <w:rPr>
                      <w:rFonts w:asciiTheme="minorHAnsi" w:hAnsiTheme="minorHAnsi" w:cstheme="minorHAnsi"/>
                      <w:color w:val="000000"/>
                      <w:sz w:val="18"/>
                      <w:szCs w:val="18"/>
                    </w:rPr>
                    <w:t>All of</w:t>
                  </w:r>
                  <w:proofErr w:type="gramEnd"/>
                  <w:r w:rsidRPr="00997EF7">
                    <w:rPr>
                      <w:rFonts w:asciiTheme="minorHAnsi" w:hAnsiTheme="minorHAnsi" w:cstheme="minorHAnsi"/>
                      <w:color w:val="000000"/>
                      <w:sz w:val="18"/>
                      <w:szCs w:val="18"/>
                    </w:rPr>
                    <w:t xml:space="preserve"> the forward contracts to buy US Dollars and some of those to sell Euros meet the conditions for hedge accounting, as set out in the accounting policies of the financial statements for the year ended 31 July 20</w:t>
                  </w:r>
                  <w:r w:rsidR="0047121F" w:rsidRPr="00997EF7">
                    <w:rPr>
                      <w:rFonts w:asciiTheme="minorHAnsi" w:hAnsiTheme="minorHAnsi" w:cstheme="minorHAnsi"/>
                      <w:color w:val="000000"/>
                      <w:sz w:val="18"/>
                      <w:szCs w:val="18"/>
                    </w:rPr>
                    <w:t>22</w:t>
                  </w:r>
                  <w:r w:rsidRPr="00997EF7">
                    <w:rPr>
                      <w:rFonts w:asciiTheme="minorHAnsi" w:hAnsiTheme="minorHAnsi" w:cstheme="minorHAnsi"/>
                      <w:color w:val="000000"/>
                      <w:sz w:val="18"/>
                      <w:szCs w:val="18"/>
                    </w:rPr>
                    <w:t>.</w:t>
                  </w:r>
                </w:p>
                <w:p w14:paraId="67305B83" w14:textId="77777777" w:rsidR="00F2332A" w:rsidRPr="00846EEE" w:rsidRDefault="00F2332A" w:rsidP="0047121F">
                  <w:pPr>
                    <w:autoSpaceDE w:val="0"/>
                    <w:autoSpaceDN w:val="0"/>
                    <w:adjustRightInd w:val="0"/>
                    <w:spacing w:after="0" w:line="240" w:lineRule="auto"/>
                    <w:jc w:val="both"/>
                    <w:rPr>
                      <w:rFonts w:asciiTheme="minorHAnsi" w:hAnsiTheme="minorHAnsi" w:cstheme="minorHAnsi"/>
                      <w:color w:val="000000"/>
                      <w:sz w:val="18"/>
                      <w:szCs w:val="18"/>
                    </w:rPr>
                  </w:pPr>
                </w:p>
                <w:p w14:paraId="4533B1C4" w14:textId="77777777" w:rsidR="003C09CD" w:rsidRPr="00846EEE" w:rsidRDefault="003C09CD" w:rsidP="0047121F">
                  <w:pPr>
                    <w:pStyle w:val="DecimalAligned"/>
                    <w:widowControl w:val="0"/>
                    <w:tabs>
                      <w:tab w:val="clear" w:pos="360"/>
                      <w:tab w:val="left" w:pos="352"/>
                      <w:tab w:val="left" w:pos="464"/>
                    </w:tabs>
                    <w:autoSpaceDE w:val="0"/>
                    <w:autoSpaceDN w:val="0"/>
                    <w:adjustRightInd w:val="0"/>
                    <w:spacing w:after="0" w:line="240" w:lineRule="auto"/>
                    <w:jc w:val="both"/>
                    <w:rPr>
                      <w:rFonts w:asciiTheme="minorHAnsi" w:hAnsiTheme="minorHAnsi" w:cstheme="minorHAnsi"/>
                      <w:b/>
                      <w:color w:val="000000"/>
                      <w:sz w:val="18"/>
                      <w:szCs w:val="18"/>
                    </w:rPr>
                  </w:pPr>
                  <w:r w:rsidRPr="00846EEE">
                    <w:rPr>
                      <w:rFonts w:asciiTheme="minorHAnsi" w:hAnsiTheme="minorHAnsi" w:cstheme="minorHAnsi"/>
                      <w:b/>
                      <w:color w:val="000000"/>
                      <w:sz w:val="18"/>
                      <w:szCs w:val="18"/>
                    </w:rPr>
                    <w:t>Derivative financial instruments – Interest rate swaps</w:t>
                  </w:r>
                  <w:r w:rsidR="002D56F6" w:rsidRPr="00846EEE">
                    <w:rPr>
                      <w:rFonts w:asciiTheme="minorHAnsi" w:hAnsiTheme="minorHAnsi" w:cstheme="minorHAnsi"/>
                      <w:b/>
                      <w:color w:val="000000"/>
                      <w:sz w:val="18"/>
                      <w:szCs w:val="18"/>
                    </w:rPr>
                    <w:t xml:space="preserve"> and interest rate caps</w:t>
                  </w:r>
                </w:p>
                <w:p w14:paraId="6B378BBC" w14:textId="4A580D9D" w:rsidR="006C5259" w:rsidRPr="00846EEE" w:rsidRDefault="003C09CD" w:rsidP="0047121F">
                  <w:pPr>
                    <w:pStyle w:val="DecimalAligned"/>
                    <w:widowControl w:val="0"/>
                    <w:tabs>
                      <w:tab w:val="clear" w:pos="360"/>
                      <w:tab w:val="left" w:pos="352"/>
                      <w:tab w:val="left" w:pos="464"/>
                    </w:tabs>
                    <w:autoSpaceDE w:val="0"/>
                    <w:autoSpaceDN w:val="0"/>
                    <w:adjustRightInd w:val="0"/>
                    <w:spacing w:after="0" w:line="240" w:lineRule="auto"/>
                    <w:jc w:val="both"/>
                    <w:rPr>
                      <w:rFonts w:asciiTheme="minorHAnsi" w:hAnsiTheme="minorHAnsi" w:cstheme="minorHAnsi"/>
                      <w:color w:val="000000"/>
                      <w:sz w:val="18"/>
                      <w:szCs w:val="18"/>
                    </w:rPr>
                  </w:pPr>
                  <w:r w:rsidRPr="00846EEE">
                    <w:rPr>
                      <w:rFonts w:asciiTheme="minorHAnsi" w:hAnsiTheme="minorHAnsi" w:cstheme="minorHAnsi"/>
                      <w:color w:val="000000"/>
                      <w:sz w:val="18"/>
                      <w:szCs w:val="18"/>
                    </w:rPr>
                    <w:t>The Group ha</w:t>
                  </w:r>
                  <w:r w:rsidR="00690045" w:rsidRPr="00846EEE">
                    <w:rPr>
                      <w:rFonts w:asciiTheme="minorHAnsi" w:hAnsiTheme="minorHAnsi" w:cstheme="minorHAnsi"/>
                      <w:color w:val="000000"/>
                      <w:sz w:val="18"/>
                      <w:szCs w:val="18"/>
                    </w:rPr>
                    <w:t>s</w:t>
                  </w:r>
                  <w:r w:rsidRPr="00846EEE">
                    <w:rPr>
                      <w:rFonts w:asciiTheme="minorHAnsi" w:hAnsiTheme="minorHAnsi" w:cstheme="minorHAnsi"/>
                      <w:color w:val="000000"/>
                      <w:sz w:val="18"/>
                      <w:szCs w:val="18"/>
                    </w:rPr>
                    <w:t xml:space="preserve"> </w:t>
                  </w:r>
                  <w:proofErr w:type="gramStart"/>
                  <w:r w:rsidRPr="00846EEE">
                    <w:rPr>
                      <w:rFonts w:asciiTheme="minorHAnsi" w:hAnsiTheme="minorHAnsi" w:cstheme="minorHAnsi"/>
                      <w:color w:val="000000"/>
                      <w:sz w:val="18"/>
                      <w:szCs w:val="18"/>
                    </w:rPr>
                    <w:t>entered into</w:t>
                  </w:r>
                  <w:proofErr w:type="gramEnd"/>
                  <w:r w:rsidRPr="00846EEE">
                    <w:rPr>
                      <w:rFonts w:asciiTheme="minorHAnsi" w:hAnsiTheme="minorHAnsi" w:cstheme="minorHAnsi"/>
                      <w:color w:val="000000"/>
                      <w:sz w:val="18"/>
                      <w:szCs w:val="18"/>
                    </w:rPr>
                    <w:t xml:space="preserve"> interest rate swap</w:t>
                  </w:r>
                  <w:r w:rsidR="002D56F6" w:rsidRPr="00846EEE">
                    <w:rPr>
                      <w:rFonts w:asciiTheme="minorHAnsi" w:hAnsiTheme="minorHAnsi" w:cstheme="minorHAnsi"/>
                      <w:color w:val="000000"/>
                      <w:sz w:val="18"/>
                      <w:szCs w:val="18"/>
                    </w:rPr>
                    <w:t>s and interest rate caps</w:t>
                  </w:r>
                  <w:r w:rsidRPr="00846EEE">
                    <w:rPr>
                      <w:rFonts w:asciiTheme="minorHAnsi" w:hAnsiTheme="minorHAnsi" w:cstheme="minorHAnsi"/>
                      <w:color w:val="000000"/>
                      <w:sz w:val="18"/>
                      <w:szCs w:val="18"/>
                    </w:rPr>
                    <w:t xml:space="preserve"> to </w:t>
                  </w:r>
                  <w:r w:rsidR="002D56F6" w:rsidRPr="00846EEE">
                    <w:rPr>
                      <w:rFonts w:asciiTheme="minorHAnsi" w:hAnsiTheme="minorHAnsi" w:cstheme="minorHAnsi"/>
                      <w:color w:val="000000"/>
                      <w:sz w:val="18"/>
                      <w:szCs w:val="18"/>
                    </w:rPr>
                    <w:t xml:space="preserve">protect </w:t>
                  </w:r>
                  <w:r w:rsidRPr="00846EEE">
                    <w:rPr>
                      <w:rFonts w:asciiTheme="minorHAnsi" w:hAnsiTheme="minorHAnsi" w:cstheme="minorHAnsi"/>
                      <w:color w:val="000000"/>
                      <w:sz w:val="18"/>
                      <w:szCs w:val="18"/>
                    </w:rPr>
                    <w:t xml:space="preserve">the exposure to interest rate movements on the </w:t>
                  </w:r>
                  <w:r w:rsidR="002D56F6" w:rsidRPr="00846EEE">
                    <w:rPr>
                      <w:rFonts w:asciiTheme="minorHAnsi" w:hAnsiTheme="minorHAnsi" w:cstheme="minorHAnsi"/>
                      <w:color w:val="000000"/>
                      <w:sz w:val="18"/>
                      <w:szCs w:val="18"/>
                    </w:rPr>
                    <w:t xml:space="preserve">various elements of the </w:t>
                  </w:r>
                  <w:r w:rsidRPr="00846EEE">
                    <w:rPr>
                      <w:rFonts w:asciiTheme="minorHAnsi" w:hAnsiTheme="minorHAnsi" w:cstheme="minorHAnsi"/>
                      <w:color w:val="000000"/>
                      <w:sz w:val="18"/>
                      <w:szCs w:val="18"/>
                    </w:rPr>
                    <w:t xml:space="preserve">Group’s </w:t>
                  </w:r>
                  <w:r w:rsidR="002D56F6" w:rsidRPr="00846EEE">
                    <w:rPr>
                      <w:rFonts w:asciiTheme="minorHAnsi" w:hAnsiTheme="minorHAnsi" w:cstheme="minorHAnsi"/>
                      <w:color w:val="000000"/>
                      <w:sz w:val="18"/>
                      <w:szCs w:val="18"/>
                    </w:rPr>
                    <w:t>banking</w:t>
                  </w:r>
                  <w:r w:rsidRPr="00846EEE">
                    <w:rPr>
                      <w:rFonts w:asciiTheme="minorHAnsi" w:hAnsiTheme="minorHAnsi" w:cstheme="minorHAnsi"/>
                      <w:color w:val="000000"/>
                      <w:sz w:val="18"/>
                      <w:szCs w:val="18"/>
                    </w:rPr>
                    <w:t xml:space="preserve"> facility. </w:t>
                  </w:r>
                  <w:r w:rsidR="007D40AD" w:rsidRPr="00846EEE">
                    <w:rPr>
                      <w:rFonts w:asciiTheme="minorHAnsi" w:hAnsiTheme="minorHAnsi" w:cstheme="minorHAnsi"/>
                      <w:color w:val="000000"/>
                      <w:sz w:val="18"/>
                      <w:szCs w:val="18"/>
                    </w:rPr>
                    <w:t xml:space="preserve">As </w:t>
                  </w:r>
                  <w:proofErr w:type="gramStart"/>
                  <w:r w:rsidR="007D40AD" w:rsidRPr="00846EEE">
                    <w:rPr>
                      <w:rFonts w:asciiTheme="minorHAnsi" w:hAnsiTheme="minorHAnsi" w:cstheme="minorHAnsi"/>
                      <w:color w:val="000000"/>
                      <w:sz w:val="18"/>
                      <w:szCs w:val="18"/>
                    </w:rPr>
                    <w:t>at</w:t>
                  </w:r>
                  <w:proofErr w:type="gramEnd"/>
                  <w:r w:rsidR="007D40AD" w:rsidRPr="00846EEE">
                    <w:rPr>
                      <w:rFonts w:asciiTheme="minorHAnsi" w:hAnsiTheme="minorHAnsi" w:cstheme="minorHAnsi"/>
                      <w:color w:val="000000"/>
                      <w:sz w:val="18"/>
                      <w:szCs w:val="18"/>
                    </w:rPr>
                    <w:t xml:space="preserve"> 31 January 20</w:t>
                  </w:r>
                  <w:r w:rsidR="0047121F" w:rsidRPr="00846EEE">
                    <w:rPr>
                      <w:rFonts w:asciiTheme="minorHAnsi" w:hAnsiTheme="minorHAnsi" w:cstheme="minorHAnsi"/>
                      <w:color w:val="000000"/>
                      <w:sz w:val="18"/>
                      <w:szCs w:val="18"/>
                    </w:rPr>
                    <w:t>23</w:t>
                  </w:r>
                  <w:r w:rsidR="002D56F6" w:rsidRPr="00846EEE">
                    <w:rPr>
                      <w:rFonts w:asciiTheme="minorHAnsi" w:hAnsiTheme="minorHAnsi" w:cstheme="minorHAnsi"/>
                      <w:color w:val="000000"/>
                      <w:sz w:val="18"/>
                      <w:szCs w:val="18"/>
                    </w:rPr>
                    <w:t xml:space="preserve">, protection was in place over </w:t>
                  </w:r>
                  <w:r w:rsidR="002D56F6" w:rsidRPr="006F506C">
                    <w:rPr>
                      <w:rFonts w:asciiTheme="minorHAnsi" w:hAnsiTheme="minorHAnsi" w:cstheme="minorHAnsi"/>
                      <w:color w:val="000000"/>
                      <w:sz w:val="18"/>
                      <w:szCs w:val="18"/>
                    </w:rPr>
                    <w:t xml:space="preserve">an aggregate </w:t>
                  </w:r>
                  <w:r w:rsidR="002D56F6" w:rsidRPr="006F506C">
                    <w:rPr>
                      <w:rFonts w:asciiTheme="minorHAnsi" w:hAnsiTheme="minorHAnsi" w:cstheme="minorHAnsi"/>
                      <w:sz w:val="18"/>
                      <w:szCs w:val="18"/>
                    </w:rPr>
                    <w:t xml:space="preserve">principal of </w:t>
                  </w:r>
                  <w:r w:rsidR="002D56F6" w:rsidRPr="008B47AB">
                    <w:rPr>
                      <w:rFonts w:asciiTheme="minorHAnsi" w:hAnsiTheme="minorHAnsi" w:cstheme="minorHAnsi"/>
                      <w:sz w:val="18"/>
                      <w:szCs w:val="18"/>
                    </w:rPr>
                    <w:t>£</w:t>
                  </w:r>
                  <w:r w:rsidR="006F506C" w:rsidRPr="008B47AB">
                    <w:rPr>
                      <w:rFonts w:asciiTheme="minorHAnsi" w:hAnsiTheme="minorHAnsi" w:cstheme="minorHAnsi"/>
                      <w:sz w:val="18"/>
                      <w:szCs w:val="18"/>
                    </w:rPr>
                    <w:t>18,200,000</w:t>
                  </w:r>
                  <w:r w:rsidR="002D56F6" w:rsidRPr="006F506C">
                    <w:rPr>
                      <w:rFonts w:asciiTheme="minorHAnsi" w:hAnsiTheme="minorHAnsi" w:cstheme="minorHAnsi"/>
                      <w:color w:val="000000"/>
                      <w:sz w:val="18"/>
                      <w:szCs w:val="18"/>
                    </w:rPr>
                    <w:t xml:space="preserve"> (31 January 20</w:t>
                  </w:r>
                  <w:r w:rsidR="0047121F" w:rsidRPr="006F506C">
                    <w:rPr>
                      <w:rFonts w:asciiTheme="minorHAnsi" w:hAnsiTheme="minorHAnsi" w:cstheme="minorHAnsi"/>
                      <w:color w:val="000000"/>
                      <w:sz w:val="18"/>
                      <w:szCs w:val="18"/>
                    </w:rPr>
                    <w:t>22</w:t>
                  </w:r>
                  <w:r w:rsidR="005A21B2" w:rsidRPr="006F506C">
                    <w:rPr>
                      <w:rFonts w:asciiTheme="minorHAnsi" w:hAnsiTheme="minorHAnsi" w:cstheme="minorHAnsi"/>
                      <w:color w:val="000000"/>
                      <w:sz w:val="18"/>
                      <w:szCs w:val="18"/>
                    </w:rPr>
                    <w:t>:</w:t>
                  </w:r>
                  <w:r w:rsidR="002D56F6" w:rsidRPr="006F506C">
                    <w:rPr>
                      <w:rFonts w:asciiTheme="minorHAnsi" w:hAnsiTheme="minorHAnsi" w:cstheme="minorHAnsi"/>
                      <w:color w:val="000000"/>
                      <w:sz w:val="18"/>
                      <w:szCs w:val="18"/>
                    </w:rPr>
                    <w:t xml:space="preserve"> £</w:t>
                  </w:r>
                  <w:r w:rsidR="00D4664B" w:rsidRPr="006F506C">
                    <w:rPr>
                      <w:rFonts w:asciiTheme="minorHAnsi" w:hAnsiTheme="minorHAnsi" w:cstheme="minorHAnsi"/>
                      <w:color w:val="000000"/>
                      <w:sz w:val="18"/>
                      <w:szCs w:val="18"/>
                    </w:rPr>
                    <w:t>1</w:t>
                  </w:r>
                  <w:r w:rsidR="00F63F3D" w:rsidRPr="006F506C">
                    <w:rPr>
                      <w:rFonts w:asciiTheme="minorHAnsi" w:hAnsiTheme="minorHAnsi" w:cstheme="minorHAnsi"/>
                      <w:color w:val="000000"/>
                      <w:sz w:val="18"/>
                      <w:szCs w:val="18"/>
                    </w:rPr>
                    <w:t>7</w:t>
                  </w:r>
                  <w:r w:rsidR="00D4664B" w:rsidRPr="006F506C">
                    <w:rPr>
                      <w:rFonts w:asciiTheme="minorHAnsi" w:hAnsiTheme="minorHAnsi" w:cstheme="minorHAnsi"/>
                      <w:color w:val="000000"/>
                      <w:sz w:val="18"/>
                      <w:szCs w:val="18"/>
                    </w:rPr>
                    <w:t>,</w:t>
                  </w:r>
                  <w:r w:rsidR="00F63F3D" w:rsidRPr="006F506C">
                    <w:rPr>
                      <w:rFonts w:asciiTheme="minorHAnsi" w:hAnsiTheme="minorHAnsi" w:cstheme="minorHAnsi"/>
                      <w:color w:val="000000"/>
                      <w:sz w:val="18"/>
                      <w:szCs w:val="18"/>
                    </w:rPr>
                    <w:t>700</w:t>
                  </w:r>
                  <w:r w:rsidR="00C8009C" w:rsidRPr="006F506C">
                    <w:rPr>
                      <w:rFonts w:asciiTheme="minorHAnsi" w:hAnsiTheme="minorHAnsi" w:cstheme="minorHAnsi"/>
                      <w:color w:val="000000"/>
                      <w:sz w:val="18"/>
                      <w:szCs w:val="18"/>
                    </w:rPr>
                    <w:t>,000</w:t>
                  </w:r>
                  <w:r w:rsidR="002D56F6" w:rsidRPr="006F506C">
                    <w:rPr>
                      <w:rFonts w:asciiTheme="minorHAnsi" w:hAnsiTheme="minorHAnsi" w:cstheme="minorHAnsi"/>
                      <w:color w:val="000000"/>
                      <w:sz w:val="18"/>
                      <w:szCs w:val="18"/>
                    </w:rPr>
                    <w:t>, 31 July 20</w:t>
                  </w:r>
                  <w:r w:rsidR="0047121F" w:rsidRPr="006F506C">
                    <w:rPr>
                      <w:rFonts w:asciiTheme="minorHAnsi" w:hAnsiTheme="minorHAnsi" w:cstheme="minorHAnsi"/>
                      <w:color w:val="000000"/>
                      <w:sz w:val="18"/>
                      <w:szCs w:val="18"/>
                    </w:rPr>
                    <w:t>22</w:t>
                  </w:r>
                  <w:r w:rsidR="005A21B2" w:rsidRPr="006F506C">
                    <w:rPr>
                      <w:rFonts w:asciiTheme="minorHAnsi" w:hAnsiTheme="minorHAnsi" w:cstheme="minorHAnsi"/>
                      <w:color w:val="000000"/>
                      <w:sz w:val="18"/>
                      <w:szCs w:val="18"/>
                    </w:rPr>
                    <w:t>:</w:t>
                  </w:r>
                  <w:r w:rsidR="00CD6D7F" w:rsidRPr="006F506C">
                    <w:rPr>
                      <w:rFonts w:asciiTheme="minorHAnsi" w:hAnsiTheme="minorHAnsi" w:cstheme="minorHAnsi"/>
                      <w:color w:val="000000"/>
                      <w:sz w:val="18"/>
                      <w:szCs w:val="18"/>
                    </w:rPr>
                    <w:t xml:space="preserve"> £</w:t>
                  </w:r>
                  <w:r w:rsidR="00D4664B" w:rsidRPr="006F506C">
                    <w:rPr>
                      <w:rFonts w:asciiTheme="minorHAnsi" w:hAnsiTheme="minorHAnsi" w:cstheme="minorHAnsi"/>
                      <w:color w:val="000000"/>
                      <w:sz w:val="18"/>
                      <w:szCs w:val="18"/>
                    </w:rPr>
                    <w:t>1</w:t>
                  </w:r>
                  <w:r w:rsidR="00F63F3D" w:rsidRPr="006F506C">
                    <w:rPr>
                      <w:rFonts w:asciiTheme="minorHAnsi" w:hAnsiTheme="minorHAnsi" w:cstheme="minorHAnsi"/>
                      <w:color w:val="000000"/>
                      <w:sz w:val="18"/>
                      <w:szCs w:val="18"/>
                    </w:rPr>
                    <w:t>8</w:t>
                  </w:r>
                  <w:r w:rsidR="00D4664B" w:rsidRPr="006F506C">
                    <w:rPr>
                      <w:rFonts w:asciiTheme="minorHAnsi" w:hAnsiTheme="minorHAnsi" w:cstheme="minorHAnsi"/>
                      <w:color w:val="000000"/>
                      <w:sz w:val="18"/>
                      <w:szCs w:val="18"/>
                    </w:rPr>
                    <w:t>,</w:t>
                  </w:r>
                  <w:r w:rsidR="00F63F3D" w:rsidRPr="006F506C">
                    <w:rPr>
                      <w:rFonts w:asciiTheme="minorHAnsi" w:hAnsiTheme="minorHAnsi" w:cstheme="minorHAnsi"/>
                      <w:color w:val="000000"/>
                      <w:sz w:val="18"/>
                      <w:szCs w:val="18"/>
                    </w:rPr>
                    <w:t>3</w:t>
                  </w:r>
                  <w:r w:rsidR="00D4664B" w:rsidRPr="006F506C">
                    <w:rPr>
                      <w:rFonts w:asciiTheme="minorHAnsi" w:hAnsiTheme="minorHAnsi" w:cstheme="minorHAnsi"/>
                      <w:color w:val="000000"/>
                      <w:sz w:val="18"/>
                      <w:szCs w:val="18"/>
                    </w:rPr>
                    <w:t>00</w:t>
                  </w:r>
                  <w:r w:rsidR="002D56F6" w:rsidRPr="006F506C">
                    <w:rPr>
                      <w:rFonts w:asciiTheme="minorHAnsi" w:hAnsiTheme="minorHAnsi" w:cstheme="minorHAnsi"/>
                      <w:color w:val="000000"/>
                      <w:sz w:val="18"/>
                      <w:szCs w:val="18"/>
                    </w:rPr>
                    <w:t>,000).</w:t>
                  </w:r>
                  <w:r w:rsidR="002D56F6" w:rsidRPr="00846EEE">
                    <w:rPr>
                      <w:rFonts w:asciiTheme="minorHAnsi" w:hAnsiTheme="minorHAnsi" w:cstheme="minorHAnsi"/>
                      <w:color w:val="000000"/>
                      <w:sz w:val="18"/>
                      <w:szCs w:val="18"/>
                    </w:rPr>
                    <w:t xml:space="preserve"> </w:t>
                  </w:r>
                </w:p>
                <w:p w14:paraId="4CF89BD7" w14:textId="77777777" w:rsidR="006C5259" w:rsidRPr="00846EEE" w:rsidRDefault="006C5259" w:rsidP="0047121F">
                  <w:pPr>
                    <w:pStyle w:val="DecimalAligned"/>
                    <w:widowControl w:val="0"/>
                    <w:tabs>
                      <w:tab w:val="clear" w:pos="360"/>
                      <w:tab w:val="left" w:pos="352"/>
                      <w:tab w:val="left" w:pos="464"/>
                    </w:tabs>
                    <w:autoSpaceDE w:val="0"/>
                    <w:autoSpaceDN w:val="0"/>
                    <w:adjustRightInd w:val="0"/>
                    <w:spacing w:after="0" w:line="240" w:lineRule="auto"/>
                    <w:jc w:val="both"/>
                    <w:rPr>
                      <w:rFonts w:asciiTheme="minorHAnsi" w:hAnsiTheme="minorHAnsi" w:cstheme="minorHAnsi"/>
                      <w:color w:val="000000"/>
                      <w:sz w:val="18"/>
                      <w:szCs w:val="18"/>
                    </w:rPr>
                  </w:pPr>
                </w:p>
                <w:p w14:paraId="787F5A59" w14:textId="78508C5E" w:rsidR="002D56F6" w:rsidRPr="00846EEE" w:rsidRDefault="00D4664B" w:rsidP="0047121F">
                  <w:pPr>
                    <w:pStyle w:val="DecimalAligned"/>
                    <w:widowControl w:val="0"/>
                    <w:tabs>
                      <w:tab w:val="clear" w:pos="360"/>
                      <w:tab w:val="left" w:pos="352"/>
                      <w:tab w:val="left" w:pos="464"/>
                    </w:tabs>
                    <w:autoSpaceDE w:val="0"/>
                    <w:autoSpaceDN w:val="0"/>
                    <w:adjustRightInd w:val="0"/>
                    <w:spacing w:after="0" w:line="240" w:lineRule="auto"/>
                    <w:jc w:val="both"/>
                    <w:rPr>
                      <w:rFonts w:asciiTheme="minorHAnsi" w:hAnsiTheme="minorHAnsi" w:cstheme="minorHAnsi"/>
                      <w:color w:val="000000"/>
                      <w:sz w:val="18"/>
                      <w:szCs w:val="18"/>
                    </w:rPr>
                  </w:pPr>
                  <w:proofErr w:type="gramStart"/>
                  <w:r w:rsidRPr="00846EEE">
                    <w:rPr>
                      <w:rFonts w:asciiTheme="minorHAnsi" w:hAnsiTheme="minorHAnsi" w:cstheme="minorHAnsi"/>
                      <w:color w:val="000000"/>
                      <w:sz w:val="18"/>
                      <w:szCs w:val="18"/>
                    </w:rPr>
                    <w:t>All</w:t>
                  </w:r>
                  <w:r w:rsidR="00AE7B6A" w:rsidRPr="00846EEE">
                    <w:rPr>
                      <w:rFonts w:asciiTheme="minorHAnsi" w:hAnsiTheme="minorHAnsi" w:cstheme="minorHAnsi"/>
                      <w:color w:val="000000"/>
                      <w:sz w:val="18"/>
                      <w:szCs w:val="18"/>
                    </w:rPr>
                    <w:t xml:space="preserve"> of</w:t>
                  </w:r>
                  <w:proofErr w:type="gramEnd"/>
                  <w:r w:rsidR="00AE7B6A" w:rsidRPr="00846EEE">
                    <w:rPr>
                      <w:rFonts w:asciiTheme="minorHAnsi" w:hAnsiTheme="minorHAnsi" w:cstheme="minorHAnsi"/>
                      <w:color w:val="000000"/>
                      <w:sz w:val="18"/>
                      <w:szCs w:val="18"/>
                    </w:rPr>
                    <w:t xml:space="preserve"> the</w:t>
                  </w:r>
                  <w:r w:rsidR="002D56F6" w:rsidRPr="00846EEE">
                    <w:rPr>
                      <w:rFonts w:asciiTheme="minorHAnsi" w:hAnsiTheme="minorHAnsi" w:cstheme="minorHAnsi"/>
                      <w:color w:val="000000"/>
                      <w:sz w:val="18"/>
                      <w:szCs w:val="18"/>
                    </w:rPr>
                    <w:t xml:space="preserve"> interest rate swaps meet the conditions for hedge accounting, as set out in the accounting policies </w:t>
                  </w:r>
                  <w:r w:rsidR="00443CED" w:rsidRPr="00846EEE">
                    <w:rPr>
                      <w:rFonts w:asciiTheme="minorHAnsi" w:hAnsiTheme="minorHAnsi" w:cstheme="minorHAnsi"/>
                      <w:color w:val="000000"/>
                      <w:sz w:val="18"/>
                      <w:szCs w:val="18"/>
                    </w:rPr>
                    <w:t>contained in the</w:t>
                  </w:r>
                  <w:r w:rsidR="002D56F6" w:rsidRPr="00846EEE">
                    <w:rPr>
                      <w:rFonts w:asciiTheme="minorHAnsi" w:hAnsiTheme="minorHAnsi" w:cstheme="minorHAnsi"/>
                      <w:color w:val="000000"/>
                      <w:sz w:val="18"/>
                      <w:szCs w:val="18"/>
                    </w:rPr>
                    <w:t xml:space="preserve"> financial statements</w:t>
                  </w:r>
                  <w:r w:rsidR="00CD6D7F" w:rsidRPr="00846EEE">
                    <w:rPr>
                      <w:rFonts w:asciiTheme="minorHAnsi" w:hAnsiTheme="minorHAnsi" w:cstheme="minorHAnsi"/>
                      <w:color w:val="000000"/>
                      <w:sz w:val="18"/>
                      <w:szCs w:val="18"/>
                    </w:rPr>
                    <w:t xml:space="preserve"> for the year ended 31 July 20</w:t>
                  </w:r>
                  <w:r w:rsidR="0047121F" w:rsidRPr="00846EEE">
                    <w:rPr>
                      <w:rFonts w:asciiTheme="minorHAnsi" w:hAnsiTheme="minorHAnsi" w:cstheme="minorHAnsi"/>
                      <w:color w:val="000000"/>
                      <w:sz w:val="18"/>
                      <w:szCs w:val="18"/>
                    </w:rPr>
                    <w:t>22</w:t>
                  </w:r>
                  <w:r w:rsidR="002D56F6" w:rsidRPr="00846EEE">
                    <w:rPr>
                      <w:rFonts w:asciiTheme="minorHAnsi" w:hAnsiTheme="minorHAnsi" w:cstheme="minorHAnsi"/>
                      <w:color w:val="000000"/>
                      <w:sz w:val="18"/>
                      <w:szCs w:val="18"/>
                    </w:rPr>
                    <w:t xml:space="preserve">. </w:t>
                  </w:r>
                </w:p>
                <w:p w14:paraId="48BA00F7" w14:textId="77777777" w:rsidR="006C5259" w:rsidRPr="00846EEE" w:rsidRDefault="006C5259" w:rsidP="0047121F">
                  <w:pPr>
                    <w:pStyle w:val="DecimalAligned"/>
                    <w:widowControl w:val="0"/>
                    <w:tabs>
                      <w:tab w:val="clear" w:pos="360"/>
                      <w:tab w:val="left" w:pos="352"/>
                      <w:tab w:val="left" w:pos="464"/>
                    </w:tabs>
                    <w:autoSpaceDE w:val="0"/>
                    <w:autoSpaceDN w:val="0"/>
                    <w:adjustRightInd w:val="0"/>
                    <w:spacing w:after="0" w:line="240" w:lineRule="auto"/>
                    <w:jc w:val="both"/>
                    <w:rPr>
                      <w:rFonts w:asciiTheme="minorHAnsi" w:hAnsiTheme="minorHAnsi" w:cstheme="minorHAnsi"/>
                      <w:color w:val="000000"/>
                      <w:sz w:val="18"/>
                      <w:szCs w:val="18"/>
                    </w:rPr>
                  </w:pPr>
                </w:p>
                <w:p w14:paraId="22C3EEA8" w14:textId="4CC8F3E6" w:rsidR="00916D0B" w:rsidRPr="00846EEE" w:rsidRDefault="003C09CD" w:rsidP="0047121F">
                  <w:pPr>
                    <w:pStyle w:val="DecimalAligned"/>
                    <w:widowControl w:val="0"/>
                    <w:tabs>
                      <w:tab w:val="clear" w:pos="360"/>
                      <w:tab w:val="left" w:pos="352"/>
                      <w:tab w:val="left" w:pos="464"/>
                    </w:tabs>
                    <w:autoSpaceDE w:val="0"/>
                    <w:autoSpaceDN w:val="0"/>
                    <w:adjustRightInd w:val="0"/>
                    <w:spacing w:after="0" w:line="240" w:lineRule="auto"/>
                    <w:jc w:val="both"/>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Interest rate swaps </w:t>
                  </w:r>
                  <w:r w:rsidR="002D56F6" w:rsidRPr="00846EEE">
                    <w:rPr>
                      <w:rFonts w:asciiTheme="minorHAnsi" w:hAnsiTheme="minorHAnsi" w:cstheme="minorHAnsi"/>
                      <w:color w:val="000000"/>
                      <w:sz w:val="18"/>
                      <w:szCs w:val="18"/>
                    </w:rPr>
                    <w:t xml:space="preserve">and caps </w:t>
                  </w:r>
                  <w:r w:rsidRPr="00846EEE">
                    <w:rPr>
                      <w:rFonts w:asciiTheme="minorHAnsi" w:hAnsiTheme="minorHAnsi" w:cstheme="minorHAnsi"/>
                      <w:color w:val="000000"/>
                      <w:sz w:val="18"/>
                      <w:szCs w:val="18"/>
                    </w:rPr>
                    <w:t>are valued using level 2 inputs. The valuations are based on the notional value of the swaps</w:t>
                  </w:r>
                  <w:r w:rsidR="002D56F6" w:rsidRPr="00846EEE">
                    <w:rPr>
                      <w:rFonts w:asciiTheme="minorHAnsi" w:hAnsiTheme="minorHAnsi" w:cstheme="minorHAnsi"/>
                      <w:color w:val="000000"/>
                      <w:sz w:val="18"/>
                      <w:szCs w:val="18"/>
                    </w:rPr>
                    <w:t xml:space="preserve"> and caps</w:t>
                  </w:r>
                  <w:r w:rsidRPr="00846EEE">
                    <w:rPr>
                      <w:rFonts w:asciiTheme="minorHAnsi" w:hAnsiTheme="minorHAnsi" w:cstheme="minorHAnsi"/>
                      <w:color w:val="000000"/>
                      <w:sz w:val="18"/>
                      <w:szCs w:val="18"/>
                    </w:rPr>
                    <w:t xml:space="preserve">, the current available market borrowing rate and the swapped </w:t>
                  </w:r>
                  <w:r w:rsidR="002D56F6" w:rsidRPr="00846EEE">
                    <w:rPr>
                      <w:rFonts w:asciiTheme="minorHAnsi" w:hAnsiTheme="minorHAnsi" w:cstheme="minorHAnsi"/>
                      <w:color w:val="000000"/>
                      <w:sz w:val="18"/>
                      <w:szCs w:val="18"/>
                    </w:rPr>
                    <w:t xml:space="preserve">or capped </w:t>
                  </w:r>
                  <w:r w:rsidRPr="00846EEE">
                    <w:rPr>
                      <w:rFonts w:asciiTheme="minorHAnsi" w:hAnsiTheme="minorHAnsi" w:cstheme="minorHAnsi"/>
                      <w:color w:val="000000"/>
                      <w:sz w:val="18"/>
                      <w:szCs w:val="18"/>
                    </w:rPr>
                    <w:t>interest rate</w:t>
                  </w:r>
                  <w:r w:rsidR="002D56F6" w:rsidRPr="00846EEE">
                    <w:rPr>
                      <w:rFonts w:asciiTheme="minorHAnsi" w:hAnsiTheme="minorHAnsi" w:cstheme="minorHAnsi"/>
                      <w:color w:val="000000"/>
                      <w:sz w:val="18"/>
                      <w:szCs w:val="18"/>
                    </w:rPr>
                    <w:t xml:space="preserve"> respectively</w:t>
                  </w:r>
                  <w:r w:rsidRPr="00846EEE">
                    <w:rPr>
                      <w:rFonts w:asciiTheme="minorHAnsi" w:hAnsiTheme="minorHAnsi" w:cstheme="minorHAnsi"/>
                      <w:color w:val="000000"/>
                      <w:sz w:val="18"/>
                      <w:szCs w:val="18"/>
                    </w:rPr>
                    <w:t>. The valuation</w:t>
                  </w:r>
                  <w:r w:rsidR="002D56F6" w:rsidRPr="00846EEE">
                    <w:rPr>
                      <w:rFonts w:asciiTheme="minorHAnsi" w:hAnsiTheme="minorHAnsi" w:cstheme="minorHAnsi"/>
                      <w:color w:val="000000"/>
                      <w:sz w:val="18"/>
                      <w:szCs w:val="18"/>
                    </w:rPr>
                    <w:t>s are</w:t>
                  </w:r>
                  <w:r w:rsidRPr="00846EEE">
                    <w:rPr>
                      <w:rFonts w:asciiTheme="minorHAnsi" w:hAnsiTheme="minorHAnsi" w:cstheme="minorHAnsi"/>
                      <w:color w:val="000000"/>
                      <w:sz w:val="18"/>
                      <w:szCs w:val="18"/>
                    </w:rPr>
                    <w:t xml:space="preserve"> based on the current valuation of the present saving or cost of the future cash</w:t>
                  </w:r>
                  <w:r w:rsidR="00D51566" w:rsidRPr="00846EEE">
                    <w:rPr>
                      <w:rFonts w:asciiTheme="minorHAnsi" w:hAnsiTheme="minorHAnsi" w:cstheme="minorHAnsi"/>
                      <w:color w:val="000000"/>
                      <w:sz w:val="18"/>
                      <w:szCs w:val="18"/>
                    </w:rPr>
                    <w:t xml:space="preserve"> </w:t>
                  </w:r>
                  <w:r w:rsidRPr="00846EEE">
                    <w:rPr>
                      <w:rFonts w:asciiTheme="minorHAnsi" w:hAnsiTheme="minorHAnsi" w:cstheme="minorHAnsi"/>
                      <w:color w:val="000000"/>
                      <w:sz w:val="18"/>
                      <w:szCs w:val="18"/>
                    </w:rPr>
                    <w:t>flow differences</w:t>
                  </w:r>
                  <w:r w:rsidR="00BE2449" w:rsidRPr="00846EEE">
                    <w:rPr>
                      <w:rFonts w:asciiTheme="minorHAnsi" w:hAnsiTheme="minorHAnsi" w:cstheme="minorHAnsi"/>
                      <w:color w:val="000000"/>
                      <w:sz w:val="18"/>
                      <w:szCs w:val="18"/>
                    </w:rPr>
                    <w:t>,</w:t>
                  </w:r>
                  <w:r w:rsidRPr="00846EEE">
                    <w:rPr>
                      <w:rFonts w:asciiTheme="minorHAnsi" w:hAnsiTheme="minorHAnsi" w:cstheme="minorHAnsi"/>
                      <w:color w:val="000000"/>
                      <w:sz w:val="18"/>
                      <w:szCs w:val="18"/>
                    </w:rPr>
                    <w:t xml:space="preserve"> based on the difference between the swapped </w:t>
                  </w:r>
                  <w:r w:rsidR="002D56F6" w:rsidRPr="00846EEE">
                    <w:rPr>
                      <w:rFonts w:asciiTheme="minorHAnsi" w:hAnsiTheme="minorHAnsi" w:cstheme="minorHAnsi"/>
                      <w:color w:val="000000"/>
                      <w:sz w:val="18"/>
                      <w:szCs w:val="18"/>
                    </w:rPr>
                    <w:t xml:space="preserve">and capped </w:t>
                  </w:r>
                  <w:r w:rsidRPr="00846EEE">
                    <w:rPr>
                      <w:rFonts w:asciiTheme="minorHAnsi" w:hAnsiTheme="minorHAnsi" w:cstheme="minorHAnsi"/>
                      <w:color w:val="000000"/>
                      <w:sz w:val="18"/>
                      <w:szCs w:val="18"/>
                    </w:rPr>
                    <w:t>interest rate</w:t>
                  </w:r>
                  <w:r w:rsidR="002D56F6" w:rsidRPr="00846EEE">
                    <w:rPr>
                      <w:rFonts w:asciiTheme="minorHAnsi" w:hAnsiTheme="minorHAnsi" w:cstheme="minorHAnsi"/>
                      <w:color w:val="000000"/>
                      <w:sz w:val="18"/>
                      <w:szCs w:val="18"/>
                    </w:rPr>
                    <w:t>s contracts</w:t>
                  </w:r>
                  <w:r w:rsidRPr="00846EEE">
                    <w:rPr>
                      <w:rFonts w:asciiTheme="minorHAnsi" w:hAnsiTheme="minorHAnsi" w:cstheme="minorHAnsi"/>
                      <w:color w:val="000000"/>
                      <w:sz w:val="18"/>
                      <w:szCs w:val="18"/>
                    </w:rPr>
                    <w:t xml:space="preserve"> and the expected interest rat</w:t>
                  </w:r>
                  <w:r w:rsidR="00684A4D" w:rsidRPr="00846EEE">
                    <w:rPr>
                      <w:rFonts w:asciiTheme="minorHAnsi" w:hAnsiTheme="minorHAnsi" w:cstheme="minorHAnsi"/>
                      <w:color w:val="000000"/>
                      <w:sz w:val="18"/>
                      <w:szCs w:val="18"/>
                    </w:rPr>
                    <w:t>e as per the lending agreement.</w:t>
                  </w:r>
                </w:p>
                <w:p w14:paraId="5441A86D" w14:textId="27BC120E" w:rsidR="00506B94" w:rsidRPr="00FB2A7C" w:rsidRDefault="00506B94" w:rsidP="0047121F">
                  <w:pPr>
                    <w:pStyle w:val="DecimalAligned"/>
                    <w:widowControl w:val="0"/>
                    <w:tabs>
                      <w:tab w:val="clear" w:pos="360"/>
                      <w:tab w:val="left" w:pos="352"/>
                      <w:tab w:val="left" w:pos="464"/>
                    </w:tabs>
                    <w:autoSpaceDE w:val="0"/>
                    <w:autoSpaceDN w:val="0"/>
                    <w:adjustRightInd w:val="0"/>
                    <w:spacing w:after="0" w:line="240" w:lineRule="auto"/>
                    <w:jc w:val="both"/>
                    <w:rPr>
                      <w:rFonts w:asciiTheme="minorHAnsi" w:hAnsiTheme="minorHAnsi" w:cstheme="minorHAnsi"/>
                      <w:b/>
                      <w:bCs/>
                      <w:color w:val="000000"/>
                      <w:sz w:val="18"/>
                      <w:szCs w:val="18"/>
                    </w:rPr>
                  </w:pPr>
                </w:p>
                <w:p w14:paraId="4684FF1D" w14:textId="27B019A6" w:rsidR="002E63A6" w:rsidRDefault="002E63A6" w:rsidP="00FB2A7C">
                  <w:pPr>
                    <w:pStyle w:val="DecimalAligned"/>
                    <w:widowControl w:val="0"/>
                    <w:numPr>
                      <w:ilvl w:val="0"/>
                      <w:numId w:val="1"/>
                    </w:numPr>
                    <w:tabs>
                      <w:tab w:val="clear" w:pos="360"/>
                      <w:tab w:val="left" w:pos="471"/>
                    </w:tabs>
                    <w:autoSpaceDE w:val="0"/>
                    <w:autoSpaceDN w:val="0"/>
                    <w:adjustRightInd w:val="0"/>
                    <w:spacing w:after="0" w:line="240" w:lineRule="auto"/>
                    <w:ind w:hanging="720"/>
                    <w:jc w:val="both"/>
                    <w:rPr>
                      <w:rFonts w:asciiTheme="minorHAnsi" w:hAnsiTheme="minorHAnsi" w:cstheme="minorHAnsi"/>
                      <w:b/>
                      <w:bCs/>
                      <w:color w:val="000000"/>
                      <w:sz w:val="18"/>
                      <w:szCs w:val="18"/>
                    </w:rPr>
                  </w:pPr>
                  <w:r w:rsidRPr="00FB2A7C">
                    <w:rPr>
                      <w:rFonts w:asciiTheme="minorHAnsi" w:hAnsiTheme="minorHAnsi" w:cstheme="minorHAnsi"/>
                      <w:b/>
                      <w:bCs/>
                      <w:color w:val="000000"/>
                      <w:sz w:val="18"/>
                      <w:szCs w:val="18"/>
                    </w:rPr>
                    <w:t>Related party transactions</w:t>
                  </w:r>
                </w:p>
                <w:p w14:paraId="29D4AACE" w14:textId="77777777" w:rsidR="002E63A6" w:rsidRPr="00FB2A7C" w:rsidRDefault="002E63A6" w:rsidP="00FB2A7C">
                  <w:pPr>
                    <w:pStyle w:val="DecimalAligned"/>
                    <w:widowControl w:val="0"/>
                    <w:tabs>
                      <w:tab w:val="clear" w:pos="360"/>
                      <w:tab w:val="left" w:pos="352"/>
                    </w:tabs>
                    <w:autoSpaceDE w:val="0"/>
                    <w:autoSpaceDN w:val="0"/>
                    <w:adjustRightInd w:val="0"/>
                    <w:spacing w:after="0" w:line="240" w:lineRule="auto"/>
                    <w:ind w:left="720"/>
                    <w:jc w:val="both"/>
                    <w:rPr>
                      <w:rFonts w:asciiTheme="minorHAnsi" w:hAnsiTheme="minorHAnsi" w:cstheme="minorHAnsi"/>
                      <w:b/>
                      <w:bCs/>
                      <w:color w:val="000000"/>
                      <w:sz w:val="18"/>
                      <w:szCs w:val="18"/>
                    </w:rPr>
                  </w:pPr>
                </w:p>
                <w:tbl>
                  <w:tblPr>
                    <w:tblW w:w="9469" w:type="dxa"/>
                    <w:tblBorders>
                      <w:top w:val="single" w:sz="8" w:space="0" w:color="4F81BD"/>
                      <w:bottom w:val="single" w:sz="8" w:space="0" w:color="4F81BD"/>
                    </w:tblBorders>
                    <w:tblLayout w:type="fixed"/>
                    <w:tblLook w:val="0660" w:firstRow="1" w:lastRow="1" w:firstColumn="0" w:lastColumn="0" w:noHBand="1" w:noVBand="1"/>
                  </w:tblPr>
                  <w:tblGrid>
                    <w:gridCol w:w="4857"/>
                    <w:gridCol w:w="1537"/>
                    <w:gridCol w:w="1537"/>
                    <w:gridCol w:w="1538"/>
                  </w:tblGrid>
                  <w:tr w:rsidR="002E63A6" w:rsidRPr="00846EEE" w14:paraId="6C56989D" w14:textId="77777777" w:rsidTr="00FB2A7C">
                    <w:tc>
                      <w:tcPr>
                        <w:tcW w:w="4857" w:type="dxa"/>
                        <w:tcBorders>
                          <w:top w:val="nil"/>
                          <w:left w:val="nil"/>
                          <w:bottom w:val="nil"/>
                          <w:right w:val="nil"/>
                        </w:tcBorders>
                        <w:shd w:val="clear" w:color="auto" w:fill="auto"/>
                      </w:tcPr>
                      <w:p w14:paraId="7A512C7F" w14:textId="77777777" w:rsidR="002E63A6" w:rsidRPr="00846EEE" w:rsidRDefault="002E63A6" w:rsidP="002E63A6">
                        <w:pPr>
                          <w:spacing w:after="0" w:line="240" w:lineRule="auto"/>
                          <w:rPr>
                            <w:rFonts w:asciiTheme="minorHAnsi" w:hAnsiTheme="minorHAnsi" w:cstheme="minorHAnsi"/>
                            <w:b/>
                            <w:bCs/>
                            <w:color w:val="000000"/>
                            <w:sz w:val="18"/>
                            <w:szCs w:val="18"/>
                            <w:lang w:val="en-US" w:bidi="en-US"/>
                          </w:rPr>
                        </w:pPr>
                      </w:p>
                      <w:p w14:paraId="1724FE59" w14:textId="77777777" w:rsidR="002E63A6" w:rsidRPr="00846EEE" w:rsidRDefault="002E63A6" w:rsidP="002E63A6">
                        <w:pPr>
                          <w:spacing w:after="0" w:line="240" w:lineRule="auto"/>
                          <w:rPr>
                            <w:rFonts w:asciiTheme="minorHAnsi" w:hAnsiTheme="minorHAnsi" w:cstheme="minorHAnsi"/>
                            <w:b/>
                            <w:bCs/>
                            <w:color w:val="000000"/>
                            <w:sz w:val="18"/>
                            <w:szCs w:val="18"/>
                            <w:lang w:val="en-US" w:bidi="en-US"/>
                          </w:rPr>
                        </w:pPr>
                      </w:p>
                    </w:tc>
                    <w:tc>
                      <w:tcPr>
                        <w:tcW w:w="1537" w:type="dxa"/>
                        <w:tcBorders>
                          <w:top w:val="nil"/>
                          <w:left w:val="nil"/>
                          <w:bottom w:val="nil"/>
                          <w:right w:val="nil"/>
                        </w:tcBorders>
                        <w:shd w:val="clear" w:color="auto" w:fill="auto"/>
                        <w:vAlign w:val="bottom"/>
                      </w:tcPr>
                      <w:p w14:paraId="1A392429" w14:textId="77777777" w:rsidR="002E63A6" w:rsidRDefault="002E63A6" w:rsidP="002E63A6">
                        <w:pPr>
                          <w:spacing w:after="0" w:line="240" w:lineRule="auto"/>
                          <w:jc w:val="right"/>
                          <w:rPr>
                            <w:rFonts w:asciiTheme="minorHAnsi" w:hAnsiTheme="minorHAnsi" w:cstheme="minorHAnsi"/>
                            <w:b/>
                            <w:bCs/>
                            <w:color w:val="000000"/>
                            <w:sz w:val="18"/>
                            <w:szCs w:val="18"/>
                            <w:lang w:bidi="en-US"/>
                          </w:rPr>
                        </w:pPr>
                        <w:r>
                          <w:rPr>
                            <w:rFonts w:asciiTheme="minorHAnsi" w:hAnsiTheme="minorHAnsi" w:cstheme="minorHAnsi"/>
                            <w:b/>
                            <w:bCs/>
                            <w:color w:val="000000"/>
                            <w:sz w:val="18"/>
                            <w:szCs w:val="18"/>
                            <w:lang w:bidi="en-US"/>
                          </w:rPr>
                          <w:t>6 months</w:t>
                        </w:r>
                      </w:p>
                      <w:p w14:paraId="013E59B4" w14:textId="7D6C6354" w:rsidR="002E63A6" w:rsidRPr="00846EEE" w:rsidRDefault="002E63A6" w:rsidP="002E63A6">
                        <w:pPr>
                          <w:spacing w:after="0" w:line="240" w:lineRule="auto"/>
                          <w:jc w:val="right"/>
                          <w:rPr>
                            <w:rFonts w:asciiTheme="minorHAnsi" w:hAnsiTheme="minorHAnsi" w:cstheme="minorHAnsi"/>
                            <w:b/>
                            <w:bCs/>
                            <w:color w:val="000000"/>
                            <w:sz w:val="18"/>
                            <w:szCs w:val="18"/>
                            <w:lang w:val="en-US" w:bidi="en-US"/>
                          </w:rPr>
                        </w:pPr>
                        <w:r>
                          <w:rPr>
                            <w:rFonts w:asciiTheme="minorHAnsi" w:hAnsiTheme="minorHAnsi" w:cstheme="minorHAnsi"/>
                            <w:b/>
                            <w:bCs/>
                            <w:color w:val="000000"/>
                            <w:sz w:val="18"/>
                            <w:szCs w:val="18"/>
                            <w:lang w:bidi="en-US"/>
                          </w:rPr>
                          <w:t>ended</w:t>
                        </w:r>
                        <w:r w:rsidRPr="00846EEE">
                          <w:rPr>
                            <w:rFonts w:asciiTheme="minorHAnsi" w:hAnsiTheme="minorHAnsi" w:cstheme="minorHAnsi"/>
                            <w:b/>
                            <w:bCs/>
                            <w:color w:val="000000"/>
                            <w:sz w:val="18"/>
                            <w:szCs w:val="18"/>
                            <w:lang w:bidi="en-US"/>
                          </w:rPr>
                          <w:br/>
                          <w:t>31 Jan 2023</w:t>
                        </w:r>
                      </w:p>
                    </w:tc>
                    <w:tc>
                      <w:tcPr>
                        <w:tcW w:w="1537" w:type="dxa"/>
                        <w:tcBorders>
                          <w:top w:val="nil"/>
                          <w:left w:val="nil"/>
                          <w:bottom w:val="nil"/>
                          <w:right w:val="nil"/>
                        </w:tcBorders>
                        <w:vAlign w:val="bottom"/>
                      </w:tcPr>
                      <w:p w14:paraId="1F261995" w14:textId="791C2E43" w:rsidR="002E63A6" w:rsidRDefault="002E63A6" w:rsidP="002E63A6">
                        <w:pPr>
                          <w:pStyle w:val="DecimalAligned"/>
                          <w:widowControl w:val="0"/>
                          <w:tabs>
                            <w:tab w:val="clear" w:pos="360"/>
                            <w:tab w:val="left" w:pos="352"/>
                            <w:tab w:val="left" w:pos="464"/>
                          </w:tabs>
                          <w:autoSpaceDE w:val="0"/>
                          <w:autoSpaceDN w:val="0"/>
                          <w:adjustRightInd w:val="0"/>
                          <w:spacing w:after="0" w:line="240" w:lineRule="auto"/>
                          <w:jc w:val="right"/>
                          <w:rPr>
                            <w:rFonts w:asciiTheme="minorHAnsi" w:hAnsiTheme="minorHAnsi" w:cstheme="minorHAnsi"/>
                            <w:bCs/>
                            <w:color w:val="000000"/>
                            <w:sz w:val="18"/>
                            <w:szCs w:val="18"/>
                            <w:lang w:bidi="en-US"/>
                          </w:rPr>
                        </w:pPr>
                        <w:r>
                          <w:rPr>
                            <w:rFonts w:asciiTheme="minorHAnsi" w:hAnsiTheme="minorHAnsi" w:cstheme="minorHAnsi"/>
                            <w:bCs/>
                            <w:color w:val="000000"/>
                            <w:sz w:val="18"/>
                            <w:szCs w:val="18"/>
                            <w:lang w:bidi="en-US"/>
                          </w:rPr>
                          <w:t>6 months</w:t>
                        </w:r>
                      </w:p>
                      <w:p w14:paraId="6789B9DD" w14:textId="0ED7A005" w:rsidR="002E63A6" w:rsidRDefault="002E63A6" w:rsidP="002E63A6">
                        <w:pPr>
                          <w:pStyle w:val="DecimalAligned"/>
                          <w:widowControl w:val="0"/>
                          <w:tabs>
                            <w:tab w:val="clear" w:pos="360"/>
                            <w:tab w:val="left" w:pos="352"/>
                            <w:tab w:val="left" w:pos="464"/>
                          </w:tabs>
                          <w:autoSpaceDE w:val="0"/>
                          <w:autoSpaceDN w:val="0"/>
                          <w:adjustRightInd w:val="0"/>
                          <w:spacing w:after="0" w:line="240" w:lineRule="auto"/>
                          <w:jc w:val="right"/>
                          <w:rPr>
                            <w:rFonts w:asciiTheme="minorHAnsi" w:hAnsiTheme="minorHAnsi" w:cstheme="minorHAnsi"/>
                            <w:bCs/>
                            <w:color w:val="000000"/>
                            <w:sz w:val="18"/>
                            <w:szCs w:val="18"/>
                            <w:lang w:bidi="en-US"/>
                          </w:rPr>
                        </w:pPr>
                        <w:r>
                          <w:rPr>
                            <w:rFonts w:asciiTheme="minorHAnsi" w:hAnsiTheme="minorHAnsi" w:cstheme="minorHAnsi"/>
                            <w:bCs/>
                            <w:color w:val="000000"/>
                            <w:sz w:val="18"/>
                            <w:szCs w:val="18"/>
                            <w:lang w:bidi="en-US"/>
                          </w:rPr>
                          <w:t>ended</w:t>
                        </w:r>
                      </w:p>
                      <w:p w14:paraId="5003F8CD" w14:textId="11B38C68" w:rsidR="002E63A6" w:rsidRPr="00846EEE" w:rsidRDefault="002E63A6" w:rsidP="002E63A6">
                        <w:pPr>
                          <w:pStyle w:val="DecimalAligned"/>
                          <w:widowControl w:val="0"/>
                          <w:tabs>
                            <w:tab w:val="clear" w:pos="360"/>
                            <w:tab w:val="left" w:pos="352"/>
                            <w:tab w:val="left" w:pos="464"/>
                          </w:tabs>
                          <w:autoSpaceDE w:val="0"/>
                          <w:autoSpaceDN w:val="0"/>
                          <w:adjustRightInd w:val="0"/>
                          <w:spacing w:after="0" w:line="240" w:lineRule="auto"/>
                          <w:jc w:val="right"/>
                          <w:rPr>
                            <w:rFonts w:asciiTheme="minorHAnsi" w:hAnsiTheme="minorHAnsi" w:cstheme="minorHAnsi"/>
                            <w:color w:val="000000"/>
                            <w:sz w:val="18"/>
                            <w:szCs w:val="18"/>
                          </w:rPr>
                        </w:pPr>
                        <w:r w:rsidRPr="00846EEE">
                          <w:rPr>
                            <w:rFonts w:asciiTheme="minorHAnsi" w:hAnsiTheme="minorHAnsi" w:cstheme="minorHAnsi"/>
                            <w:bCs/>
                            <w:color w:val="000000"/>
                            <w:sz w:val="18"/>
                            <w:szCs w:val="18"/>
                            <w:lang w:bidi="en-US"/>
                          </w:rPr>
                          <w:t>31 Jan 2022</w:t>
                        </w:r>
                      </w:p>
                    </w:tc>
                    <w:tc>
                      <w:tcPr>
                        <w:tcW w:w="1538" w:type="dxa"/>
                        <w:tcBorders>
                          <w:top w:val="nil"/>
                          <w:left w:val="nil"/>
                          <w:bottom w:val="nil"/>
                          <w:right w:val="nil"/>
                        </w:tcBorders>
                        <w:shd w:val="clear" w:color="auto" w:fill="auto"/>
                        <w:vAlign w:val="bottom"/>
                      </w:tcPr>
                      <w:p w14:paraId="436B334B" w14:textId="77777777" w:rsidR="002E63A6" w:rsidRDefault="002E63A6" w:rsidP="002E63A6">
                        <w:pPr>
                          <w:spacing w:after="0" w:line="240" w:lineRule="auto"/>
                          <w:jc w:val="right"/>
                          <w:rPr>
                            <w:rFonts w:asciiTheme="minorHAnsi" w:hAnsiTheme="minorHAnsi" w:cstheme="minorHAnsi"/>
                            <w:bCs/>
                            <w:color w:val="000000"/>
                            <w:sz w:val="18"/>
                            <w:szCs w:val="18"/>
                            <w:lang w:val="en-US" w:bidi="en-US"/>
                          </w:rPr>
                        </w:pPr>
                        <w:r>
                          <w:rPr>
                            <w:rFonts w:asciiTheme="minorHAnsi" w:hAnsiTheme="minorHAnsi" w:cstheme="minorHAnsi"/>
                            <w:bCs/>
                            <w:color w:val="000000"/>
                            <w:sz w:val="18"/>
                            <w:szCs w:val="18"/>
                            <w:lang w:val="en-US" w:bidi="en-US"/>
                          </w:rPr>
                          <w:t xml:space="preserve">Year </w:t>
                        </w:r>
                      </w:p>
                      <w:p w14:paraId="436CA2F8" w14:textId="452BFBE4" w:rsidR="002E63A6" w:rsidRPr="00846EEE" w:rsidRDefault="002E63A6" w:rsidP="002E63A6">
                        <w:pPr>
                          <w:spacing w:after="0" w:line="240" w:lineRule="auto"/>
                          <w:jc w:val="right"/>
                          <w:rPr>
                            <w:rFonts w:asciiTheme="minorHAnsi" w:hAnsiTheme="minorHAnsi" w:cstheme="minorHAnsi"/>
                            <w:bCs/>
                            <w:color w:val="000000"/>
                            <w:sz w:val="18"/>
                            <w:szCs w:val="18"/>
                            <w:lang w:val="en-US" w:bidi="en-US"/>
                          </w:rPr>
                        </w:pPr>
                        <w:r>
                          <w:rPr>
                            <w:rFonts w:asciiTheme="minorHAnsi" w:hAnsiTheme="minorHAnsi" w:cstheme="minorHAnsi"/>
                            <w:bCs/>
                            <w:color w:val="000000"/>
                            <w:sz w:val="18"/>
                            <w:szCs w:val="18"/>
                            <w:lang w:val="en-US" w:bidi="en-US"/>
                          </w:rPr>
                          <w:t>ended</w:t>
                        </w:r>
                        <w:r w:rsidRPr="00846EEE">
                          <w:rPr>
                            <w:rFonts w:asciiTheme="minorHAnsi" w:hAnsiTheme="minorHAnsi" w:cstheme="minorHAnsi"/>
                            <w:bCs/>
                            <w:color w:val="000000"/>
                            <w:sz w:val="18"/>
                            <w:szCs w:val="18"/>
                            <w:lang w:val="en-US" w:bidi="en-US"/>
                          </w:rPr>
                          <w:t xml:space="preserve"> </w:t>
                        </w:r>
                      </w:p>
                      <w:p w14:paraId="39B4E8DF" w14:textId="05B07947" w:rsidR="002E63A6" w:rsidRPr="00846EEE" w:rsidRDefault="002E63A6" w:rsidP="002E63A6">
                        <w:pPr>
                          <w:spacing w:after="0" w:line="240" w:lineRule="auto"/>
                          <w:jc w:val="right"/>
                          <w:rPr>
                            <w:rFonts w:asciiTheme="minorHAnsi" w:hAnsiTheme="minorHAnsi" w:cstheme="minorHAnsi"/>
                            <w:bCs/>
                            <w:color w:val="000000"/>
                            <w:sz w:val="18"/>
                            <w:szCs w:val="18"/>
                            <w:lang w:val="en-US" w:bidi="en-US"/>
                          </w:rPr>
                        </w:pPr>
                        <w:r w:rsidRPr="00846EEE">
                          <w:rPr>
                            <w:rFonts w:asciiTheme="minorHAnsi" w:hAnsiTheme="minorHAnsi" w:cstheme="minorHAnsi"/>
                            <w:bCs/>
                            <w:color w:val="000000"/>
                            <w:sz w:val="18"/>
                            <w:szCs w:val="18"/>
                            <w:lang w:bidi="en-US"/>
                          </w:rPr>
                          <w:t>31 Jul 2022</w:t>
                        </w:r>
                      </w:p>
                    </w:tc>
                  </w:tr>
                  <w:tr w:rsidR="002E63A6" w:rsidRPr="00846EEE" w14:paraId="391BCB57" w14:textId="77777777" w:rsidTr="00FB2A7C">
                    <w:tc>
                      <w:tcPr>
                        <w:tcW w:w="4857" w:type="dxa"/>
                        <w:tcBorders>
                          <w:top w:val="nil"/>
                          <w:left w:val="nil"/>
                          <w:bottom w:val="double" w:sz="4" w:space="0" w:color="auto"/>
                          <w:right w:val="nil"/>
                        </w:tcBorders>
                        <w:shd w:val="clear" w:color="auto" w:fill="auto"/>
                      </w:tcPr>
                      <w:p w14:paraId="5129A490" w14:textId="77777777" w:rsidR="002E63A6" w:rsidRPr="00846EEE" w:rsidRDefault="002E63A6" w:rsidP="002E63A6">
                        <w:pPr>
                          <w:spacing w:after="0" w:line="240" w:lineRule="auto"/>
                          <w:rPr>
                            <w:rFonts w:asciiTheme="minorHAnsi" w:hAnsiTheme="minorHAnsi" w:cstheme="minorHAnsi"/>
                            <w:b/>
                            <w:bCs/>
                            <w:color w:val="000000"/>
                            <w:sz w:val="18"/>
                            <w:szCs w:val="18"/>
                            <w:lang w:val="en-US" w:bidi="en-US"/>
                          </w:rPr>
                        </w:pPr>
                      </w:p>
                    </w:tc>
                    <w:tc>
                      <w:tcPr>
                        <w:tcW w:w="1537" w:type="dxa"/>
                        <w:tcBorders>
                          <w:top w:val="nil"/>
                          <w:left w:val="nil"/>
                          <w:bottom w:val="double" w:sz="4" w:space="0" w:color="auto"/>
                          <w:right w:val="nil"/>
                        </w:tcBorders>
                        <w:shd w:val="clear" w:color="auto" w:fill="auto"/>
                        <w:vAlign w:val="center"/>
                      </w:tcPr>
                      <w:p w14:paraId="459B06F2" w14:textId="77777777" w:rsidR="002E63A6" w:rsidRPr="00846EEE" w:rsidRDefault="002E63A6" w:rsidP="002E63A6">
                        <w:pPr>
                          <w:pStyle w:val="DecimalAligned"/>
                          <w:widowControl w:val="0"/>
                          <w:tabs>
                            <w:tab w:val="clear" w:pos="360"/>
                            <w:tab w:val="left" w:pos="352"/>
                            <w:tab w:val="left" w:pos="464"/>
                          </w:tabs>
                          <w:autoSpaceDE w:val="0"/>
                          <w:autoSpaceDN w:val="0"/>
                          <w:adjustRightInd w:val="0"/>
                          <w:spacing w:after="0" w:line="240" w:lineRule="auto"/>
                          <w:jc w:val="right"/>
                          <w:rPr>
                            <w:rFonts w:asciiTheme="minorHAnsi" w:hAnsiTheme="minorHAnsi" w:cstheme="minorHAnsi"/>
                            <w:b/>
                            <w:bCs/>
                            <w:color w:val="000000"/>
                            <w:sz w:val="18"/>
                            <w:szCs w:val="18"/>
                          </w:rPr>
                        </w:pPr>
                        <w:r w:rsidRPr="00846EEE">
                          <w:rPr>
                            <w:rFonts w:asciiTheme="minorHAnsi" w:hAnsiTheme="minorHAnsi" w:cstheme="minorHAnsi"/>
                            <w:b/>
                            <w:bCs/>
                            <w:sz w:val="18"/>
                            <w:szCs w:val="18"/>
                          </w:rPr>
                          <w:t>£’000</w:t>
                        </w:r>
                      </w:p>
                    </w:tc>
                    <w:tc>
                      <w:tcPr>
                        <w:tcW w:w="1537" w:type="dxa"/>
                        <w:tcBorders>
                          <w:top w:val="nil"/>
                          <w:left w:val="nil"/>
                          <w:bottom w:val="double" w:sz="4" w:space="0" w:color="auto"/>
                          <w:right w:val="nil"/>
                        </w:tcBorders>
                        <w:vAlign w:val="center"/>
                      </w:tcPr>
                      <w:p w14:paraId="67665B90" w14:textId="77777777" w:rsidR="002E63A6" w:rsidRPr="00846EEE" w:rsidRDefault="002E63A6" w:rsidP="002E63A6">
                        <w:pPr>
                          <w:pStyle w:val="DecimalAligned"/>
                          <w:widowControl w:val="0"/>
                          <w:tabs>
                            <w:tab w:val="clear" w:pos="360"/>
                            <w:tab w:val="left" w:pos="352"/>
                            <w:tab w:val="left" w:pos="464"/>
                          </w:tabs>
                          <w:autoSpaceDE w:val="0"/>
                          <w:autoSpaceDN w:val="0"/>
                          <w:adjustRightInd w:val="0"/>
                          <w:spacing w:after="0" w:line="240" w:lineRule="auto"/>
                          <w:jc w:val="right"/>
                          <w:rPr>
                            <w:rFonts w:asciiTheme="minorHAnsi" w:hAnsiTheme="minorHAnsi" w:cstheme="minorHAnsi"/>
                            <w:bCs/>
                            <w:color w:val="000000"/>
                            <w:sz w:val="18"/>
                            <w:szCs w:val="18"/>
                          </w:rPr>
                        </w:pPr>
                        <w:r w:rsidRPr="00002756">
                          <w:rPr>
                            <w:rFonts w:asciiTheme="minorHAnsi" w:hAnsiTheme="minorHAnsi" w:cstheme="minorHAnsi"/>
                            <w:sz w:val="18"/>
                            <w:szCs w:val="18"/>
                          </w:rPr>
                          <w:t>£’000</w:t>
                        </w:r>
                      </w:p>
                    </w:tc>
                    <w:tc>
                      <w:tcPr>
                        <w:tcW w:w="1538" w:type="dxa"/>
                        <w:tcBorders>
                          <w:top w:val="nil"/>
                          <w:left w:val="nil"/>
                          <w:bottom w:val="double" w:sz="4" w:space="0" w:color="auto"/>
                          <w:right w:val="nil"/>
                        </w:tcBorders>
                        <w:shd w:val="clear" w:color="auto" w:fill="auto"/>
                        <w:vAlign w:val="center"/>
                      </w:tcPr>
                      <w:p w14:paraId="5CD3817F" w14:textId="77777777" w:rsidR="002E63A6" w:rsidRPr="00846EEE" w:rsidRDefault="002E63A6" w:rsidP="002E63A6">
                        <w:pPr>
                          <w:pStyle w:val="DecimalAligned"/>
                          <w:widowControl w:val="0"/>
                          <w:tabs>
                            <w:tab w:val="clear" w:pos="360"/>
                            <w:tab w:val="left" w:pos="352"/>
                            <w:tab w:val="left" w:pos="464"/>
                          </w:tabs>
                          <w:autoSpaceDE w:val="0"/>
                          <w:autoSpaceDN w:val="0"/>
                          <w:adjustRightInd w:val="0"/>
                          <w:spacing w:after="0" w:line="240" w:lineRule="auto"/>
                          <w:jc w:val="right"/>
                          <w:rPr>
                            <w:rFonts w:asciiTheme="minorHAnsi" w:hAnsiTheme="minorHAnsi" w:cstheme="minorHAnsi"/>
                            <w:color w:val="000000"/>
                            <w:sz w:val="18"/>
                            <w:szCs w:val="18"/>
                          </w:rPr>
                        </w:pPr>
                        <w:r w:rsidRPr="00002756">
                          <w:rPr>
                            <w:rFonts w:asciiTheme="minorHAnsi" w:hAnsiTheme="minorHAnsi" w:cstheme="minorHAnsi"/>
                            <w:sz w:val="18"/>
                            <w:szCs w:val="18"/>
                          </w:rPr>
                          <w:t>£’000</w:t>
                        </w:r>
                      </w:p>
                    </w:tc>
                  </w:tr>
                  <w:tr w:rsidR="002E63A6" w:rsidRPr="00846EEE" w14:paraId="1A947C9B" w14:textId="77777777" w:rsidTr="00FB2A7C">
                    <w:trPr>
                      <w:trHeight w:val="445"/>
                    </w:trPr>
                    <w:tc>
                      <w:tcPr>
                        <w:tcW w:w="4857" w:type="dxa"/>
                        <w:tcBorders>
                          <w:top w:val="double" w:sz="4" w:space="0" w:color="auto"/>
                          <w:bottom w:val="nil"/>
                        </w:tcBorders>
                        <w:shd w:val="clear" w:color="auto" w:fill="auto"/>
                      </w:tcPr>
                      <w:p w14:paraId="173BE812" w14:textId="77777777" w:rsidR="002E63A6" w:rsidRPr="00134A75" w:rsidRDefault="002E63A6" w:rsidP="002E63A6">
                        <w:pPr>
                          <w:spacing w:after="0" w:line="240" w:lineRule="auto"/>
                          <w:rPr>
                            <w:rFonts w:cs="Calibri"/>
                            <w:color w:val="000000"/>
                            <w:sz w:val="18"/>
                            <w:szCs w:val="18"/>
                            <w:lang w:val="en-US" w:bidi="en-US"/>
                          </w:rPr>
                        </w:pPr>
                        <w:r w:rsidRPr="00134A75">
                          <w:rPr>
                            <w:rFonts w:cs="Calibri"/>
                            <w:color w:val="000000"/>
                            <w:sz w:val="18"/>
                            <w:szCs w:val="18"/>
                            <w:lang w:val="en-US" w:bidi="en-US"/>
                          </w:rPr>
                          <w:t xml:space="preserve">Transactions </w:t>
                        </w:r>
                        <w:r w:rsidRPr="00134A75">
                          <w:rPr>
                            <w:rFonts w:cs="Calibri"/>
                            <w:color w:val="000000"/>
                            <w:sz w:val="18"/>
                            <w:szCs w:val="18"/>
                          </w:rPr>
                          <w:t>with related companies and businesses:</w:t>
                        </w:r>
                      </w:p>
                      <w:p w14:paraId="1A845120" w14:textId="2F1E2ADF" w:rsidR="002E63A6" w:rsidRPr="00846EEE" w:rsidRDefault="002E63A6" w:rsidP="002E63A6">
                        <w:pPr>
                          <w:spacing w:after="0" w:line="240" w:lineRule="auto"/>
                          <w:rPr>
                            <w:rFonts w:asciiTheme="minorHAnsi" w:hAnsiTheme="minorHAnsi" w:cstheme="minorHAnsi"/>
                            <w:color w:val="000000"/>
                            <w:sz w:val="18"/>
                            <w:szCs w:val="18"/>
                            <w:lang w:val="en-US" w:bidi="en-US"/>
                          </w:rPr>
                        </w:pPr>
                        <w:r w:rsidRPr="00134A75">
                          <w:rPr>
                            <w:rFonts w:cs="Calibri"/>
                            <w:color w:val="000000"/>
                            <w:sz w:val="18"/>
                            <w:szCs w:val="18"/>
                            <w:lang w:val="en-US" w:bidi="en-US"/>
                          </w:rPr>
                          <w:t>Lease payments to Heron Mill Limited</w:t>
                        </w:r>
                      </w:p>
                    </w:tc>
                    <w:tc>
                      <w:tcPr>
                        <w:tcW w:w="1537" w:type="dxa"/>
                        <w:tcBorders>
                          <w:top w:val="double" w:sz="4" w:space="0" w:color="auto"/>
                          <w:bottom w:val="nil"/>
                        </w:tcBorders>
                        <w:shd w:val="clear" w:color="auto" w:fill="auto"/>
                      </w:tcPr>
                      <w:p w14:paraId="7D70841D" w14:textId="77777777" w:rsidR="002E63A6" w:rsidRPr="00FB2A7C" w:rsidRDefault="002E63A6" w:rsidP="002E63A6">
                        <w:pPr>
                          <w:spacing w:after="0" w:line="240" w:lineRule="auto"/>
                          <w:jc w:val="right"/>
                          <w:rPr>
                            <w:rStyle w:val="SubtleEmphasis"/>
                            <w:rFonts w:asciiTheme="minorHAnsi" w:hAnsiTheme="minorHAnsi" w:cstheme="minorHAnsi"/>
                            <w:b/>
                            <w:i w:val="0"/>
                            <w:color w:val="000000"/>
                            <w:sz w:val="18"/>
                            <w:szCs w:val="18"/>
                            <w:lang w:bidi="en-US"/>
                          </w:rPr>
                        </w:pPr>
                      </w:p>
                      <w:p w14:paraId="7BC25E6C" w14:textId="0103FA5B" w:rsidR="00FB2A7C" w:rsidRPr="00FB2A7C" w:rsidRDefault="00FB2A7C" w:rsidP="002E63A6">
                        <w:pPr>
                          <w:spacing w:after="0" w:line="240" w:lineRule="auto"/>
                          <w:jc w:val="right"/>
                          <w:rPr>
                            <w:rStyle w:val="SubtleEmphasis"/>
                            <w:rFonts w:asciiTheme="minorHAnsi" w:hAnsiTheme="minorHAnsi" w:cstheme="minorHAnsi"/>
                            <w:b/>
                            <w:i w:val="0"/>
                            <w:color w:val="000000"/>
                            <w:sz w:val="18"/>
                            <w:szCs w:val="18"/>
                            <w:lang w:bidi="en-US"/>
                          </w:rPr>
                        </w:pPr>
                        <w:r w:rsidRPr="00FB2A7C">
                          <w:rPr>
                            <w:rStyle w:val="SubtleEmphasis"/>
                            <w:rFonts w:asciiTheme="minorHAnsi" w:hAnsiTheme="minorHAnsi" w:cstheme="minorHAnsi"/>
                            <w:b/>
                            <w:i w:val="0"/>
                            <w:color w:val="000000"/>
                            <w:sz w:val="18"/>
                            <w:szCs w:val="18"/>
                            <w:lang w:bidi="en-US"/>
                          </w:rPr>
                          <w:t>168</w:t>
                        </w:r>
                      </w:p>
                    </w:tc>
                    <w:tc>
                      <w:tcPr>
                        <w:tcW w:w="1537" w:type="dxa"/>
                        <w:tcBorders>
                          <w:top w:val="double" w:sz="4" w:space="0" w:color="auto"/>
                          <w:bottom w:val="nil"/>
                        </w:tcBorders>
                      </w:tcPr>
                      <w:p w14:paraId="06826B02" w14:textId="77777777" w:rsidR="002E63A6" w:rsidRDefault="002E63A6" w:rsidP="002E63A6">
                        <w:pPr>
                          <w:spacing w:after="0" w:line="240" w:lineRule="auto"/>
                          <w:jc w:val="right"/>
                          <w:rPr>
                            <w:rStyle w:val="SubtleEmphasis"/>
                            <w:rFonts w:asciiTheme="minorHAnsi" w:hAnsiTheme="minorHAnsi" w:cstheme="minorHAnsi"/>
                            <w:bCs/>
                            <w:i w:val="0"/>
                            <w:color w:val="000000"/>
                            <w:sz w:val="18"/>
                            <w:szCs w:val="18"/>
                            <w:lang w:bidi="en-US"/>
                          </w:rPr>
                        </w:pPr>
                      </w:p>
                      <w:p w14:paraId="158E48A1" w14:textId="1946B72F" w:rsidR="002E63A6" w:rsidRPr="00846EEE" w:rsidRDefault="002E63A6" w:rsidP="002E63A6">
                        <w:pPr>
                          <w:spacing w:after="0" w:line="240" w:lineRule="auto"/>
                          <w:jc w:val="right"/>
                          <w:rPr>
                            <w:rStyle w:val="SubtleEmphasis"/>
                            <w:rFonts w:asciiTheme="minorHAnsi" w:hAnsiTheme="minorHAnsi" w:cstheme="minorHAnsi"/>
                            <w:bCs/>
                            <w:i w:val="0"/>
                            <w:color w:val="000000"/>
                            <w:sz w:val="18"/>
                            <w:szCs w:val="18"/>
                            <w:lang w:bidi="en-US"/>
                          </w:rPr>
                        </w:pPr>
                        <w:r>
                          <w:rPr>
                            <w:rStyle w:val="SubtleEmphasis"/>
                            <w:rFonts w:asciiTheme="minorHAnsi" w:hAnsiTheme="minorHAnsi" w:cstheme="minorHAnsi"/>
                            <w:bCs/>
                            <w:i w:val="0"/>
                            <w:color w:val="000000"/>
                            <w:sz w:val="18"/>
                            <w:szCs w:val="18"/>
                            <w:lang w:bidi="en-US"/>
                          </w:rPr>
                          <w:t>240</w:t>
                        </w:r>
                      </w:p>
                    </w:tc>
                    <w:tc>
                      <w:tcPr>
                        <w:tcW w:w="1538" w:type="dxa"/>
                        <w:tcBorders>
                          <w:top w:val="double" w:sz="4" w:space="0" w:color="auto"/>
                          <w:bottom w:val="nil"/>
                        </w:tcBorders>
                        <w:shd w:val="clear" w:color="auto" w:fill="auto"/>
                      </w:tcPr>
                      <w:p w14:paraId="5B6407A8" w14:textId="77777777" w:rsidR="002E63A6" w:rsidRDefault="002E63A6" w:rsidP="002E63A6">
                        <w:pPr>
                          <w:spacing w:after="0" w:line="240" w:lineRule="auto"/>
                          <w:jc w:val="right"/>
                          <w:rPr>
                            <w:rFonts w:asciiTheme="minorHAnsi" w:hAnsiTheme="minorHAnsi" w:cstheme="minorHAnsi"/>
                            <w:color w:val="000000"/>
                            <w:sz w:val="18"/>
                            <w:szCs w:val="18"/>
                            <w:lang w:val="en-US" w:bidi="en-US"/>
                          </w:rPr>
                        </w:pPr>
                      </w:p>
                      <w:p w14:paraId="3A6D9FB4" w14:textId="2DA8D229" w:rsidR="002E63A6" w:rsidRPr="00846EEE" w:rsidRDefault="002E63A6" w:rsidP="002E63A6">
                        <w:pPr>
                          <w:spacing w:after="0" w:line="240" w:lineRule="auto"/>
                          <w:jc w:val="right"/>
                          <w:rPr>
                            <w:rFonts w:asciiTheme="minorHAnsi" w:hAnsiTheme="minorHAnsi" w:cstheme="minorHAnsi"/>
                            <w:color w:val="000000"/>
                            <w:sz w:val="18"/>
                            <w:szCs w:val="18"/>
                            <w:lang w:val="en-US" w:bidi="en-US"/>
                          </w:rPr>
                        </w:pPr>
                        <w:r>
                          <w:rPr>
                            <w:rFonts w:asciiTheme="minorHAnsi" w:hAnsiTheme="minorHAnsi" w:cstheme="minorHAnsi"/>
                            <w:color w:val="000000"/>
                            <w:sz w:val="18"/>
                            <w:szCs w:val="18"/>
                            <w:lang w:val="en-US" w:bidi="en-US"/>
                          </w:rPr>
                          <w:t>407</w:t>
                        </w:r>
                      </w:p>
                    </w:tc>
                  </w:tr>
                  <w:tr w:rsidR="002E63A6" w:rsidRPr="00846EEE" w14:paraId="75BAFB9F" w14:textId="77777777" w:rsidTr="00FB2A7C">
                    <w:tc>
                      <w:tcPr>
                        <w:tcW w:w="4857" w:type="dxa"/>
                        <w:tcBorders>
                          <w:top w:val="nil"/>
                          <w:left w:val="nil"/>
                          <w:bottom w:val="double" w:sz="4" w:space="0" w:color="auto"/>
                          <w:right w:val="nil"/>
                        </w:tcBorders>
                        <w:shd w:val="clear" w:color="auto" w:fill="auto"/>
                      </w:tcPr>
                      <w:p w14:paraId="4D7D1356" w14:textId="6AD3C5A5" w:rsidR="002E63A6" w:rsidRPr="00FB2A7C" w:rsidRDefault="002E63A6" w:rsidP="002E63A6">
                        <w:pPr>
                          <w:spacing w:after="0" w:line="240" w:lineRule="auto"/>
                          <w:rPr>
                            <w:rFonts w:asciiTheme="minorHAnsi" w:hAnsiTheme="minorHAnsi" w:cstheme="minorHAnsi"/>
                            <w:color w:val="000000"/>
                            <w:sz w:val="18"/>
                            <w:szCs w:val="18"/>
                            <w:lang w:val="en-US" w:bidi="en-US"/>
                          </w:rPr>
                        </w:pPr>
                        <w:r>
                          <w:rPr>
                            <w:rFonts w:asciiTheme="minorHAnsi" w:hAnsiTheme="minorHAnsi" w:cstheme="minorHAnsi"/>
                            <w:color w:val="000000"/>
                            <w:sz w:val="18"/>
                            <w:szCs w:val="18"/>
                            <w:lang w:val="en-US" w:bidi="en-US"/>
                          </w:rPr>
                          <w:t xml:space="preserve">Lease payments to </w:t>
                        </w:r>
                        <w:proofErr w:type="spellStart"/>
                        <w:r>
                          <w:rPr>
                            <w:rFonts w:asciiTheme="minorHAnsi" w:hAnsiTheme="minorHAnsi" w:cstheme="minorHAnsi"/>
                            <w:color w:val="000000"/>
                            <w:sz w:val="18"/>
                            <w:szCs w:val="18"/>
                            <w:lang w:val="en-US" w:bidi="en-US"/>
                          </w:rPr>
                          <w:t>Berbar</w:t>
                        </w:r>
                        <w:proofErr w:type="spellEnd"/>
                        <w:r>
                          <w:rPr>
                            <w:rFonts w:asciiTheme="minorHAnsi" w:hAnsiTheme="minorHAnsi" w:cstheme="minorHAnsi"/>
                            <w:color w:val="000000"/>
                            <w:sz w:val="18"/>
                            <w:szCs w:val="18"/>
                            <w:lang w:val="en-US" w:bidi="en-US"/>
                          </w:rPr>
                          <w:t xml:space="preserve"> Properties Limited</w:t>
                        </w:r>
                      </w:p>
                    </w:tc>
                    <w:tc>
                      <w:tcPr>
                        <w:tcW w:w="1537" w:type="dxa"/>
                        <w:tcBorders>
                          <w:top w:val="nil"/>
                          <w:left w:val="nil"/>
                          <w:bottom w:val="double" w:sz="4" w:space="0" w:color="auto"/>
                          <w:right w:val="nil"/>
                        </w:tcBorders>
                        <w:shd w:val="clear" w:color="auto" w:fill="auto"/>
                      </w:tcPr>
                      <w:p w14:paraId="525B9997" w14:textId="13C90604" w:rsidR="002E63A6" w:rsidRPr="00FB2A7C" w:rsidRDefault="00FB2A7C" w:rsidP="002E63A6">
                        <w:pPr>
                          <w:pStyle w:val="DecimalAligned"/>
                          <w:spacing w:after="0" w:line="240" w:lineRule="auto"/>
                          <w:jc w:val="right"/>
                          <w:rPr>
                            <w:rFonts w:asciiTheme="minorHAnsi" w:hAnsiTheme="minorHAnsi" w:cstheme="minorHAnsi"/>
                            <w:b/>
                            <w:color w:val="000000"/>
                            <w:sz w:val="18"/>
                            <w:szCs w:val="18"/>
                            <w:lang w:bidi="en-US"/>
                          </w:rPr>
                        </w:pPr>
                        <w:r w:rsidRPr="00FB2A7C">
                          <w:rPr>
                            <w:rFonts w:asciiTheme="minorHAnsi" w:hAnsiTheme="minorHAnsi" w:cstheme="minorHAnsi"/>
                            <w:b/>
                            <w:color w:val="000000"/>
                            <w:sz w:val="18"/>
                            <w:szCs w:val="18"/>
                            <w:lang w:bidi="en-US"/>
                          </w:rPr>
                          <w:t>90</w:t>
                        </w:r>
                      </w:p>
                    </w:tc>
                    <w:tc>
                      <w:tcPr>
                        <w:tcW w:w="1537" w:type="dxa"/>
                        <w:tcBorders>
                          <w:top w:val="nil"/>
                          <w:left w:val="nil"/>
                          <w:bottom w:val="double" w:sz="4" w:space="0" w:color="auto"/>
                          <w:right w:val="nil"/>
                        </w:tcBorders>
                      </w:tcPr>
                      <w:p w14:paraId="1F201D69" w14:textId="114B0604" w:rsidR="002E63A6" w:rsidRPr="002E63A6" w:rsidRDefault="002E63A6" w:rsidP="002E63A6">
                        <w:pPr>
                          <w:pStyle w:val="DecimalAligned"/>
                          <w:spacing w:after="0" w:line="240" w:lineRule="auto"/>
                          <w:jc w:val="right"/>
                          <w:rPr>
                            <w:rFonts w:asciiTheme="minorHAnsi" w:hAnsiTheme="minorHAnsi" w:cstheme="minorHAnsi"/>
                            <w:color w:val="000000"/>
                            <w:sz w:val="18"/>
                            <w:szCs w:val="18"/>
                            <w:lang w:bidi="en-US"/>
                          </w:rPr>
                        </w:pPr>
                        <w:r>
                          <w:rPr>
                            <w:rFonts w:asciiTheme="minorHAnsi" w:hAnsiTheme="minorHAnsi" w:cstheme="minorHAnsi"/>
                            <w:color w:val="000000"/>
                            <w:sz w:val="18"/>
                            <w:szCs w:val="18"/>
                            <w:lang w:bidi="en-US"/>
                          </w:rPr>
                          <w:t>90</w:t>
                        </w:r>
                      </w:p>
                    </w:tc>
                    <w:tc>
                      <w:tcPr>
                        <w:tcW w:w="1538" w:type="dxa"/>
                        <w:tcBorders>
                          <w:top w:val="nil"/>
                          <w:left w:val="nil"/>
                          <w:bottom w:val="double" w:sz="4" w:space="0" w:color="auto"/>
                          <w:right w:val="nil"/>
                        </w:tcBorders>
                        <w:shd w:val="clear" w:color="auto" w:fill="auto"/>
                      </w:tcPr>
                      <w:p w14:paraId="2E14F9AC" w14:textId="175EEE33" w:rsidR="002E63A6" w:rsidRPr="002E63A6" w:rsidRDefault="002E63A6" w:rsidP="002E63A6">
                        <w:pPr>
                          <w:pStyle w:val="DecimalAligned"/>
                          <w:spacing w:after="0" w:line="240" w:lineRule="auto"/>
                          <w:jc w:val="right"/>
                          <w:rPr>
                            <w:rFonts w:asciiTheme="minorHAnsi" w:hAnsiTheme="minorHAnsi" w:cstheme="minorHAnsi"/>
                            <w:color w:val="000000"/>
                            <w:sz w:val="18"/>
                            <w:szCs w:val="18"/>
                            <w:lang w:bidi="en-US"/>
                          </w:rPr>
                        </w:pPr>
                        <w:r>
                          <w:rPr>
                            <w:rFonts w:asciiTheme="minorHAnsi" w:hAnsiTheme="minorHAnsi" w:cstheme="minorHAnsi"/>
                            <w:color w:val="000000"/>
                            <w:sz w:val="18"/>
                            <w:szCs w:val="18"/>
                            <w:lang w:bidi="en-US"/>
                          </w:rPr>
                          <w:t>180</w:t>
                        </w:r>
                      </w:p>
                    </w:tc>
                  </w:tr>
                </w:tbl>
                <w:p w14:paraId="018C650E" w14:textId="77777777" w:rsidR="002E63A6" w:rsidRPr="00846EEE" w:rsidRDefault="002E63A6" w:rsidP="00FB2A7C">
                  <w:pPr>
                    <w:pStyle w:val="DecimalAligned"/>
                    <w:widowControl w:val="0"/>
                    <w:tabs>
                      <w:tab w:val="clear" w:pos="360"/>
                      <w:tab w:val="left" w:pos="330"/>
                    </w:tabs>
                    <w:autoSpaceDE w:val="0"/>
                    <w:autoSpaceDN w:val="0"/>
                    <w:adjustRightInd w:val="0"/>
                    <w:spacing w:after="0" w:line="240" w:lineRule="auto"/>
                    <w:jc w:val="both"/>
                    <w:rPr>
                      <w:rFonts w:asciiTheme="minorHAnsi" w:hAnsiTheme="minorHAnsi" w:cstheme="minorHAnsi"/>
                      <w:color w:val="000000"/>
                      <w:sz w:val="18"/>
                      <w:szCs w:val="18"/>
                    </w:rPr>
                  </w:pPr>
                </w:p>
                <w:p w14:paraId="4592ACF0" w14:textId="5951D90E" w:rsidR="00506B94" w:rsidRDefault="00506B94" w:rsidP="0047121F">
                  <w:pPr>
                    <w:pStyle w:val="DecimalAligned"/>
                    <w:widowControl w:val="0"/>
                    <w:tabs>
                      <w:tab w:val="clear" w:pos="360"/>
                      <w:tab w:val="left" w:pos="352"/>
                      <w:tab w:val="left" w:pos="464"/>
                    </w:tabs>
                    <w:autoSpaceDE w:val="0"/>
                    <w:autoSpaceDN w:val="0"/>
                    <w:adjustRightInd w:val="0"/>
                    <w:spacing w:after="0" w:line="240" w:lineRule="auto"/>
                    <w:jc w:val="both"/>
                    <w:rPr>
                      <w:rFonts w:asciiTheme="minorHAnsi" w:hAnsiTheme="minorHAnsi" w:cstheme="minorHAnsi"/>
                      <w:color w:val="000000"/>
                      <w:sz w:val="18"/>
                      <w:szCs w:val="18"/>
                    </w:rPr>
                  </w:pPr>
                </w:p>
                <w:p w14:paraId="3400DBDB" w14:textId="65D54C55" w:rsidR="00D64F21" w:rsidRDefault="00D64F21" w:rsidP="0047121F">
                  <w:pPr>
                    <w:pStyle w:val="DecimalAligned"/>
                    <w:widowControl w:val="0"/>
                    <w:tabs>
                      <w:tab w:val="clear" w:pos="360"/>
                      <w:tab w:val="left" w:pos="352"/>
                      <w:tab w:val="left" w:pos="464"/>
                    </w:tabs>
                    <w:autoSpaceDE w:val="0"/>
                    <w:autoSpaceDN w:val="0"/>
                    <w:adjustRightInd w:val="0"/>
                    <w:spacing w:after="0" w:line="240" w:lineRule="auto"/>
                    <w:jc w:val="both"/>
                    <w:rPr>
                      <w:rFonts w:asciiTheme="minorHAnsi" w:hAnsiTheme="minorHAnsi" w:cstheme="minorHAnsi"/>
                      <w:color w:val="000000"/>
                      <w:sz w:val="18"/>
                      <w:szCs w:val="18"/>
                    </w:rPr>
                  </w:pPr>
                </w:p>
                <w:p w14:paraId="42DE51E3" w14:textId="77777777" w:rsidR="00D64F21" w:rsidRPr="00846EEE" w:rsidRDefault="00D64F21" w:rsidP="0047121F">
                  <w:pPr>
                    <w:pStyle w:val="DecimalAligned"/>
                    <w:widowControl w:val="0"/>
                    <w:tabs>
                      <w:tab w:val="clear" w:pos="360"/>
                      <w:tab w:val="left" w:pos="352"/>
                      <w:tab w:val="left" w:pos="464"/>
                    </w:tabs>
                    <w:autoSpaceDE w:val="0"/>
                    <w:autoSpaceDN w:val="0"/>
                    <w:adjustRightInd w:val="0"/>
                    <w:spacing w:after="0" w:line="240" w:lineRule="auto"/>
                    <w:jc w:val="both"/>
                    <w:rPr>
                      <w:rFonts w:asciiTheme="minorHAnsi" w:hAnsiTheme="minorHAnsi" w:cstheme="minorHAnsi"/>
                      <w:color w:val="000000"/>
                      <w:sz w:val="18"/>
                      <w:szCs w:val="18"/>
                    </w:rPr>
                  </w:pPr>
                </w:p>
                <w:p w14:paraId="41C6D79A" w14:textId="77777777" w:rsidR="00C64F83" w:rsidRPr="00C77A8B" w:rsidRDefault="00C64F83" w:rsidP="00C64F83">
                  <w:pPr>
                    <w:pStyle w:val="DecimalAligned"/>
                    <w:widowControl w:val="0"/>
                    <w:numPr>
                      <w:ilvl w:val="0"/>
                      <w:numId w:val="1"/>
                    </w:numPr>
                    <w:tabs>
                      <w:tab w:val="clear" w:pos="360"/>
                      <w:tab w:val="left" w:pos="352"/>
                      <w:tab w:val="left" w:pos="464"/>
                    </w:tabs>
                    <w:autoSpaceDE w:val="0"/>
                    <w:autoSpaceDN w:val="0"/>
                    <w:adjustRightInd w:val="0"/>
                    <w:spacing w:after="0" w:line="240" w:lineRule="auto"/>
                    <w:ind w:hanging="720"/>
                    <w:jc w:val="both"/>
                    <w:rPr>
                      <w:rFonts w:asciiTheme="minorHAnsi" w:hAnsiTheme="minorHAnsi" w:cstheme="minorHAnsi"/>
                      <w:sz w:val="18"/>
                      <w:szCs w:val="18"/>
                    </w:rPr>
                  </w:pPr>
                  <w:r w:rsidRPr="00C77A8B">
                    <w:rPr>
                      <w:rFonts w:asciiTheme="minorHAnsi" w:hAnsiTheme="minorHAnsi" w:cstheme="minorHAnsi"/>
                      <w:b/>
                      <w:color w:val="000000"/>
                      <w:sz w:val="18"/>
                      <w:szCs w:val="18"/>
                      <w:lang w:bidi="en-US"/>
                    </w:rPr>
                    <w:t>Alternative performance measures</w:t>
                  </w:r>
                </w:p>
                <w:p w14:paraId="0449F3E2" w14:textId="77777777" w:rsidR="00C64F83" w:rsidRPr="00C77A8B" w:rsidRDefault="00C64F83" w:rsidP="00C64F83">
                  <w:pPr>
                    <w:pStyle w:val="DecimalAligned"/>
                    <w:widowControl w:val="0"/>
                    <w:tabs>
                      <w:tab w:val="clear" w:pos="360"/>
                      <w:tab w:val="left" w:pos="352"/>
                      <w:tab w:val="left" w:pos="464"/>
                    </w:tabs>
                    <w:autoSpaceDE w:val="0"/>
                    <w:autoSpaceDN w:val="0"/>
                    <w:adjustRightInd w:val="0"/>
                    <w:spacing w:after="0" w:line="240" w:lineRule="auto"/>
                    <w:ind w:left="720"/>
                    <w:jc w:val="both"/>
                    <w:rPr>
                      <w:rFonts w:asciiTheme="minorHAnsi" w:hAnsiTheme="minorHAnsi" w:cstheme="minorHAnsi"/>
                      <w:color w:val="000000"/>
                      <w:sz w:val="18"/>
                      <w:szCs w:val="18"/>
                    </w:rPr>
                  </w:pPr>
                </w:p>
                <w:p w14:paraId="241DDCC6" w14:textId="77777777" w:rsidR="00C64F83" w:rsidRPr="00C77A8B" w:rsidRDefault="00C64F83" w:rsidP="00C64F83">
                  <w:pPr>
                    <w:pStyle w:val="DecimalAligned"/>
                    <w:widowControl w:val="0"/>
                    <w:tabs>
                      <w:tab w:val="clear" w:pos="360"/>
                      <w:tab w:val="left" w:pos="352"/>
                      <w:tab w:val="left" w:pos="464"/>
                    </w:tabs>
                    <w:autoSpaceDE w:val="0"/>
                    <w:autoSpaceDN w:val="0"/>
                    <w:adjustRightInd w:val="0"/>
                    <w:spacing w:after="0" w:line="240" w:lineRule="auto"/>
                    <w:jc w:val="both"/>
                    <w:rPr>
                      <w:color w:val="000000"/>
                    </w:rPr>
                  </w:pPr>
                  <w:r w:rsidRPr="00C77A8B">
                    <w:rPr>
                      <w:rFonts w:asciiTheme="minorHAnsi" w:hAnsiTheme="minorHAnsi" w:cstheme="minorHAnsi"/>
                      <w:color w:val="000000"/>
                      <w:sz w:val="18"/>
                      <w:szCs w:val="18"/>
                    </w:rPr>
                    <w:t xml:space="preserve"> The Group uses </w:t>
                  </w:r>
                  <w:proofErr w:type="gramStart"/>
                  <w:r w:rsidRPr="00C77A8B">
                    <w:rPr>
                      <w:rFonts w:asciiTheme="minorHAnsi" w:hAnsiTheme="minorHAnsi" w:cstheme="minorHAnsi"/>
                      <w:color w:val="000000"/>
                      <w:sz w:val="18"/>
                      <w:szCs w:val="18"/>
                    </w:rPr>
                    <w:t>a number of</w:t>
                  </w:r>
                  <w:proofErr w:type="gramEnd"/>
                  <w:r w:rsidRPr="00C77A8B">
                    <w:rPr>
                      <w:rFonts w:asciiTheme="minorHAnsi" w:hAnsiTheme="minorHAnsi" w:cstheme="minorHAnsi"/>
                      <w:color w:val="000000"/>
                      <w:sz w:val="18"/>
                      <w:szCs w:val="18"/>
                    </w:rPr>
                    <w:t xml:space="preserve"> Alternative Performance Measures (APMs) which are not defined within IFRS. The Directors use these measures </w:t>
                  </w:r>
                  <w:proofErr w:type="gramStart"/>
                  <w:r w:rsidRPr="00C77A8B">
                    <w:rPr>
                      <w:rFonts w:asciiTheme="minorHAnsi" w:hAnsiTheme="minorHAnsi" w:cstheme="minorHAnsi"/>
                      <w:color w:val="000000"/>
                      <w:sz w:val="18"/>
                      <w:szCs w:val="18"/>
                    </w:rPr>
                    <w:t>in order to</w:t>
                  </w:r>
                  <w:proofErr w:type="gramEnd"/>
                  <w:r w:rsidRPr="00C77A8B">
                    <w:rPr>
                      <w:rFonts w:asciiTheme="minorHAnsi" w:hAnsiTheme="minorHAnsi" w:cstheme="minorHAnsi"/>
                      <w:color w:val="000000"/>
                      <w:sz w:val="18"/>
                      <w:szCs w:val="18"/>
                    </w:rPr>
                    <w:t xml:space="preserve"> assess the underlying operational performance of the Group and, as such, these measures should be considered alongside the IFRS measures. </w:t>
                  </w:r>
                </w:p>
                <w:p w14:paraId="56C93739" w14:textId="77777777" w:rsidR="009A34E1" w:rsidRPr="00846EEE" w:rsidRDefault="009A34E1" w:rsidP="0047121F">
                  <w:pPr>
                    <w:pStyle w:val="DecimalAligned"/>
                    <w:widowControl w:val="0"/>
                    <w:tabs>
                      <w:tab w:val="clear" w:pos="360"/>
                      <w:tab w:val="left" w:pos="352"/>
                      <w:tab w:val="left" w:pos="464"/>
                    </w:tabs>
                    <w:autoSpaceDE w:val="0"/>
                    <w:autoSpaceDN w:val="0"/>
                    <w:adjustRightInd w:val="0"/>
                    <w:spacing w:after="0" w:line="240" w:lineRule="auto"/>
                    <w:jc w:val="both"/>
                    <w:rPr>
                      <w:rFonts w:asciiTheme="minorHAnsi" w:hAnsiTheme="minorHAnsi" w:cstheme="minorHAnsi"/>
                      <w:b/>
                      <w:bCs/>
                      <w:color w:val="000000"/>
                      <w:sz w:val="18"/>
                      <w:szCs w:val="18"/>
                      <w:highlight w:val="yellow"/>
                    </w:rPr>
                  </w:pPr>
                </w:p>
                <w:p w14:paraId="35174AE2" w14:textId="77777777" w:rsidR="00327C65" w:rsidRPr="00846EEE" w:rsidRDefault="00327C65" w:rsidP="0047121F">
                  <w:pPr>
                    <w:pStyle w:val="DecimalAligned"/>
                    <w:widowControl w:val="0"/>
                    <w:tabs>
                      <w:tab w:val="clear" w:pos="360"/>
                      <w:tab w:val="left" w:pos="352"/>
                      <w:tab w:val="left" w:pos="464"/>
                    </w:tabs>
                    <w:autoSpaceDE w:val="0"/>
                    <w:autoSpaceDN w:val="0"/>
                    <w:adjustRightInd w:val="0"/>
                    <w:spacing w:after="0" w:line="240" w:lineRule="auto"/>
                    <w:jc w:val="both"/>
                    <w:rPr>
                      <w:rFonts w:asciiTheme="minorHAnsi" w:hAnsiTheme="minorHAnsi" w:cstheme="minorHAnsi"/>
                      <w:b/>
                      <w:bCs/>
                      <w:color w:val="000000"/>
                      <w:sz w:val="18"/>
                      <w:szCs w:val="18"/>
                      <w:highlight w:val="yellow"/>
                    </w:rPr>
                  </w:pPr>
                </w:p>
                <w:p w14:paraId="488EBEE3" w14:textId="77777777" w:rsidR="00881574" w:rsidRPr="00846EEE" w:rsidRDefault="007B1172" w:rsidP="0047121F">
                  <w:pPr>
                    <w:pStyle w:val="DecimalAligned"/>
                    <w:widowControl w:val="0"/>
                    <w:tabs>
                      <w:tab w:val="clear" w:pos="360"/>
                      <w:tab w:val="left" w:pos="352"/>
                      <w:tab w:val="left" w:pos="464"/>
                    </w:tabs>
                    <w:autoSpaceDE w:val="0"/>
                    <w:autoSpaceDN w:val="0"/>
                    <w:adjustRightInd w:val="0"/>
                    <w:spacing w:after="0" w:line="240" w:lineRule="auto"/>
                    <w:jc w:val="both"/>
                    <w:rPr>
                      <w:rFonts w:asciiTheme="minorHAnsi" w:hAnsiTheme="minorHAnsi" w:cstheme="minorHAnsi"/>
                      <w:b/>
                      <w:color w:val="000000"/>
                      <w:sz w:val="18"/>
                      <w:szCs w:val="18"/>
                    </w:rPr>
                  </w:pPr>
                  <w:r w:rsidRPr="00846EEE">
                    <w:rPr>
                      <w:rFonts w:asciiTheme="minorHAnsi" w:hAnsiTheme="minorHAnsi" w:cstheme="minorHAnsi"/>
                      <w:b/>
                      <w:bCs/>
                      <w:color w:val="000000"/>
                      <w:sz w:val="18"/>
                      <w:szCs w:val="18"/>
                    </w:rPr>
                    <w:t>S</w:t>
                  </w:r>
                  <w:r w:rsidR="006F416A" w:rsidRPr="00846EEE">
                    <w:rPr>
                      <w:rFonts w:asciiTheme="minorHAnsi" w:hAnsiTheme="minorHAnsi" w:cstheme="minorHAnsi"/>
                      <w:b/>
                      <w:bCs/>
                      <w:color w:val="000000"/>
                      <w:sz w:val="18"/>
                      <w:szCs w:val="18"/>
                    </w:rPr>
                    <w:t xml:space="preserve">tatement of Directors’ </w:t>
                  </w:r>
                  <w:r w:rsidR="00881574" w:rsidRPr="00846EEE">
                    <w:rPr>
                      <w:rFonts w:asciiTheme="minorHAnsi" w:hAnsiTheme="minorHAnsi" w:cstheme="minorHAnsi"/>
                      <w:b/>
                      <w:bCs/>
                      <w:color w:val="000000"/>
                      <w:sz w:val="18"/>
                      <w:szCs w:val="18"/>
                    </w:rPr>
                    <w:t>R</w:t>
                  </w:r>
                  <w:r w:rsidR="00881574" w:rsidRPr="00846EEE">
                    <w:rPr>
                      <w:rFonts w:asciiTheme="minorHAnsi" w:hAnsiTheme="minorHAnsi" w:cstheme="minorHAnsi"/>
                      <w:b/>
                      <w:color w:val="000000"/>
                      <w:sz w:val="18"/>
                      <w:szCs w:val="18"/>
                    </w:rPr>
                    <w:t xml:space="preserve">esponsibilities </w:t>
                  </w:r>
                </w:p>
                <w:p w14:paraId="273DE907" w14:textId="77777777" w:rsidR="00014EF0" w:rsidRPr="00846EEE" w:rsidRDefault="00014EF0" w:rsidP="0047121F">
                  <w:pPr>
                    <w:pStyle w:val="DecimalAligned"/>
                    <w:widowControl w:val="0"/>
                    <w:tabs>
                      <w:tab w:val="clear" w:pos="360"/>
                      <w:tab w:val="left" w:pos="352"/>
                      <w:tab w:val="left" w:pos="464"/>
                    </w:tabs>
                    <w:autoSpaceDE w:val="0"/>
                    <w:autoSpaceDN w:val="0"/>
                    <w:adjustRightInd w:val="0"/>
                    <w:spacing w:after="0" w:line="240" w:lineRule="auto"/>
                    <w:jc w:val="both"/>
                    <w:rPr>
                      <w:rFonts w:asciiTheme="minorHAnsi" w:hAnsiTheme="minorHAnsi" w:cstheme="minorHAnsi"/>
                      <w:color w:val="000000"/>
                      <w:sz w:val="18"/>
                      <w:szCs w:val="18"/>
                    </w:rPr>
                  </w:pPr>
                </w:p>
                <w:p w14:paraId="0D216DDD" w14:textId="77777777" w:rsidR="003F22BD" w:rsidRPr="00846EEE" w:rsidRDefault="00881574" w:rsidP="0047121F">
                  <w:pPr>
                    <w:pStyle w:val="DecimalAligned"/>
                    <w:widowControl w:val="0"/>
                    <w:tabs>
                      <w:tab w:val="clear" w:pos="360"/>
                      <w:tab w:val="left" w:pos="352"/>
                      <w:tab w:val="left" w:pos="464"/>
                    </w:tabs>
                    <w:autoSpaceDE w:val="0"/>
                    <w:autoSpaceDN w:val="0"/>
                    <w:adjustRightInd w:val="0"/>
                    <w:spacing w:after="0" w:line="240" w:lineRule="auto"/>
                    <w:jc w:val="both"/>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The </w:t>
                  </w:r>
                  <w:r w:rsidR="00BE2449" w:rsidRPr="00846EEE">
                    <w:rPr>
                      <w:rFonts w:asciiTheme="minorHAnsi" w:hAnsiTheme="minorHAnsi" w:cstheme="minorHAnsi"/>
                      <w:color w:val="000000"/>
                      <w:sz w:val="18"/>
                      <w:szCs w:val="18"/>
                    </w:rPr>
                    <w:t>D</w:t>
                  </w:r>
                  <w:r w:rsidRPr="00846EEE">
                    <w:rPr>
                      <w:rFonts w:asciiTheme="minorHAnsi" w:hAnsiTheme="minorHAnsi" w:cstheme="minorHAnsi"/>
                      <w:color w:val="000000"/>
                      <w:sz w:val="18"/>
                      <w:szCs w:val="18"/>
                    </w:rPr>
                    <w:t xml:space="preserve">irectors confirm that these consolidated condensed interim financial statements have been prepared in accordance with International Accounting Standard 34 Interim Financial Reporting, </w:t>
                  </w:r>
                  <w:r w:rsidR="00AB70B9" w:rsidRPr="00846EEE">
                    <w:rPr>
                      <w:rFonts w:asciiTheme="minorHAnsi" w:hAnsiTheme="minorHAnsi" w:cstheme="minorHAnsi"/>
                      <w:color w:val="000000"/>
                      <w:sz w:val="18"/>
                      <w:szCs w:val="18"/>
                    </w:rPr>
                    <w:t xml:space="preserve">in accordance with </w:t>
                  </w:r>
                  <w:r w:rsidR="00010FF3" w:rsidRPr="00846EEE">
                    <w:rPr>
                      <w:rFonts w:asciiTheme="minorHAnsi" w:hAnsiTheme="minorHAnsi" w:cstheme="minorHAnsi"/>
                      <w:color w:val="000000"/>
                      <w:sz w:val="18"/>
                      <w:szCs w:val="18"/>
                    </w:rPr>
                    <w:t>UK adopted international accounting standards</w:t>
                  </w:r>
                  <w:r w:rsidRPr="00846EEE">
                    <w:rPr>
                      <w:rFonts w:asciiTheme="minorHAnsi" w:hAnsiTheme="minorHAnsi" w:cstheme="minorHAnsi"/>
                      <w:color w:val="000000"/>
                      <w:sz w:val="18"/>
                      <w:szCs w:val="18"/>
                    </w:rPr>
                    <w:t xml:space="preserve">. The interim management report includes a fair review of the information required by DTR 4.2.7 and DTR 4.2.8, namely: </w:t>
                  </w:r>
                </w:p>
                <w:p w14:paraId="5680733A" w14:textId="77777777" w:rsidR="00881574" w:rsidRPr="00846EEE" w:rsidRDefault="00881574" w:rsidP="0047121F">
                  <w:pPr>
                    <w:pStyle w:val="DecimalAligned"/>
                    <w:widowControl w:val="0"/>
                    <w:tabs>
                      <w:tab w:val="clear" w:pos="360"/>
                      <w:tab w:val="left" w:pos="352"/>
                      <w:tab w:val="left" w:pos="464"/>
                    </w:tabs>
                    <w:autoSpaceDE w:val="0"/>
                    <w:autoSpaceDN w:val="0"/>
                    <w:adjustRightInd w:val="0"/>
                    <w:spacing w:after="0" w:line="240" w:lineRule="auto"/>
                    <w:jc w:val="both"/>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 </w:t>
                  </w:r>
                </w:p>
                <w:p w14:paraId="18D15DE7" w14:textId="77777777" w:rsidR="00881574" w:rsidRPr="00846EEE" w:rsidRDefault="00881574" w:rsidP="0047121F">
                  <w:pPr>
                    <w:pStyle w:val="DecimalAligned"/>
                    <w:widowControl w:val="0"/>
                    <w:numPr>
                      <w:ilvl w:val="0"/>
                      <w:numId w:val="38"/>
                    </w:numPr>
                    <w:tabs>
                      <w:tab w:val="clear" w:pos="360"/>
                      <w:tab w:val="left" w:pos="352"/>
                      <w:tab w:val="left" w:pos="464"/>
                    </w:tabs>
                    <w:autoSpaceDE w:val="0"/>
                    <w:autoSpaceDN w:val="0"/>
                    <w:adjustRightInd w:val="0"/>
                    <w:spacing w:after="0" w:line="240" w:lineRule="auto"/>
                    <w:ind w:left="360"/>
                    <w:jc w:val="both"/>
                    <w:rPr>
                      <w:rFonts w:asciiTheme="minorHAnsi" w:hAnsiTheme="minorHAnsi" w:cstheme="minorHAnsi"/>
                      <w:color w:val="000000"/>
                      <w:sz w:val="18"/>
                      <w:szCs w:val="18"/>
                    </w:rPr>
                  </w:pPr>
                  <w:r w:rsidRPr="00846EEE">
                    <w:rPr>
                      <w:rFonts w:asciiTheme="minorHAnsi" w:hAnsiTheme="minorHAnsi" w:cstheme="minorHAnsi"/>
                      <w:color w:val="000000"/>
                      <w:sz w:val="18"/>
                      <w:szCs w:val="18"/>
                    </w:rPr>
                    <w:t>an indication of important events that have occurred during the first six months and their impact on the condensed set of financial statements, and a description of the principal risks and uncertainties for the remaining six months o</w:t>
                  </w:r>
                  <w:r w:rsidR="003F22BD" w:rsidRPr="00846EEE">
                    <w:rPr>
                      <w:rFonts w:asciiTheme="minorHAnsi" w:hAnsiTheme="minorHAnsi" w:cstheme="minorHAnsi"/>
                      <w:color w:val="000000"/>
                      <w:sz w:val="18"/>
                      <w:szCs w:val="18"/>
                    </w:rPr>
                    <w:t>f the financial year; and</w:t>
                  </w:r>
                </w:p>
                <w:p w14:paraId="330C14A0" w14:textId="77777777" w:rsidR="00881574" w:rsidRPr="00846EEE" w:rsidRDefault="00881574" w:rsidP="0047121F">
                  <w:pPr>
                    <w:pStyle w:val="DecimalAligned"/>
                    <w:widowControl w:val="0"/>
                    <w:tabs>
                      <w:tab w:val="clear" w:pos="360"/>
                      <w:tab w:val="left" w:pos="352"/>
                      <w:tab w:val="left" w:pos="464"/>
                    </w:tabs>
                    <w:autoSpaceDE w:val="0"/>
                    <w:autoSpaceDN w:val="0"/>
                    <w:adjustRightInd w:val="0"/>
                    <w:spacing w:after="0" w:line="240" w:lineRule="auto"/>
                    <w:ind w:left="-360" w:firstLine="1785"/>
                    <w:jc w:val="both"/>
                    <w:rPr>
                      <w:rFonts w:asciiTheme="minorHAnsi" w:hAnsiTheme="minorHAnsi" w:cstheme="minorHAnsi"/>
                      <w:color w:val="000000"/>
                      <w:sz w:val="18"/>
                      <w:szCs w:val="18"/>
                    </w:rPr>
                  </w:pPr>
                </w:p>
                <w:p w14:paraId="71801052" w14:textId="77777777" w:rsidR="00881574" w:rsidRPr="00846EEE" w:rsidRDefault="00881574" w:rsidP="0047121F">
                  <w:pPr>
                    <w:pStyle w:val="DecimalAligned"/>
                    <w:widowControl w:val="0"/>
                    <w:numPr>
                      <w:ilvl w:val="0"/>
                      <w:numId w:val="38"/>
                    </w:numPr>
                    <w:tabs>
                      <w:tab w:val="clear" w:pos="360"/>
                      <w:tab w:val="left" w:pos="352"/>
                      <w:tab w:val="left" w:pos="464"/>
                    </w:tabs>
                    <w:autoSpaceDE w:val="0"/>
                    <w:autoSpaceDN w:val="0"/>
                    <w:adjustRightInd w:val="0"/>
                    <w:spacing w:after="0" w:line="240" w:lineRule="auto"/>
                    <w:ind w:left="360"/>
                    <w:jc w:val="both"/>
                    <w:rPr>
                      <w:rFonts w:asciiTheme="minorHAnsi" w:hAnsiTheme="minorHAnsi" w:cstheme="minorHAnsi"/>
                      <w:color w:val="000000"/>
                      <w:sz w:val="18"/>
                      <w:szCs w:val="18"/>
                    </w:rPr>
                  </w:pPr>
                  <w:r w:rsidRPr="00846EEE">
                    <w:rPr>
                      <w:rFonts w:asciiTheme="minorHAnsi" w:hAnsiTheme="minorHAnsi" w:cstheme="minorHAnsi"/>
                      <w:color w:val="000000"/>
                      <w:sz w:val="18"/>
                      <w:szCs w:val="18"/>
                    </w:rPr>
                    <w:t>material</w:t>
                  </w:r>
                  <w:r w:rsidR="00F72142" w:rsidRPr="00846EEE">
                    <w:rPr>
                      <w:rFonts w:asciiTheme="minorHAnsi" w:hAnsiTheme="minorHAnsi" w:cstheme="minorHAnsi"/>
                      <w:color w:val="000000"/>
                      <w:sz w:val="18"/>
                      <w:szCs w:val="18"/>
                    </w:rPr>
                    <w:t xml:space="preserve"> </w:t>
                  </w:r>
                  <w:r w:rsidRPr="00846EEE">
                    <w:rPr>
                      <w:rFonts w:asciiTheme="minorHAnsi" w:hAnsiTheme="minorHAnsi" w:cstheme="minorHAnsi"/>
                      <w:color w:val="000000"/>
                      <w:sz w:val="18"/>
                      <w:szCs w:val="18"/>
                    </w:rPr>
                    <w:t xml:space="preserve">related party transactions in the first six months and any material changes in the related party transactions described in the last annual report. </w:t>
                  </w:r>
                </w:p>
                <w:p w14:paraId="58FEFD98" w14:textId="77777777" w:rsidR="003F22BD" w:rsidRPr="00846EEE" w:rsidRDefault="003F22BD" w:rsidP="0047121F">
                  <w:pPr>
                    <w:pStyle w:val="DecimalAligned"/>
                    <w:widowControl w:val="0"/>
                    <w:tabs>
                      <w:tab w:val="clear" w:pos="360"/>
                      <w:tab w:val="left" w:pos="352"/>
                      <w:tab w:val="left" w:pos="464"/>
                    </w:tabs>
                    <w:autoSpaceDE w:val="0"/>
                    <w:autoSpaceDN w:val="0"/>
                    <w:adjustRightInd w:val="0"/>
                    <w:spacing w:after="0" w:line="240" w:lineRule="auto"/>
                    <w:jc w:val="both"/>
                    <w:rPr>
                      <w:rFonts w:asciiTheme="minorHAnsi" w:hAnsiTheme="minorHAnsi" w:cstheme="minorHAnsi"/>
                      <w:color w:val="000000"/>
                      <w:sz w:val="18"/>
                      <w:szCs w:val="18"/>
                    </w:rPr>
                  </w:pPr>
                </w:p>
                <w:p w14:paraId="2493B6BF" w14:textId="77777777" w:rsidR="00FE73EF" w:rsidRPr="00846EEE" w:rsidRDefault="00FE73EF" w:rsidP="0047121F">
                  <w:pPr>
                    <w:pStyle w:val="DecimalAligned"/>
                    <w:widowControl w:val="0"/>
                    <w:tabs>
                      <w:tab w:val="clear" w:pos="360"/>
                      <w:tab w:val="left" w:pos="352"/>
                      <w:tab w:val="left" w:pos="464"/>
                    </w:tabs>
                    <w:autoSpaceDE w:val="0"/>
                    <w:autoSpaceDN w:val="0"/>
                    <w:adjustRightInd w:val="0"/>
                    <w:spacing w:after="0" w:line="240" w:lineRule="auto"/>
                    <w:jc w:val="both"/>
                    <w:rPr>
                      <w:rFonts w:asciiTheme="minorHAnsi" w:hAnsiTheme="minorHAnsi" w:cstheme="minorHAnsi"/>
                      <w:bCs/>
                      <w:color w:val="000000"/>
                      <w:sz w:val="18"/>
                      <w:szCs w:val="18"/>
                      <w:lang w:bidi="en-US"/>
                    </w:rPr>
                  </w:pPr>
                </w:p>
                <w:p w14:paraId="51D670B6" w14:textId="77777777" w:rsidR="00881574" w:rsidRPr="00846EEE" w:rsidRDefault="00881574" w:rsidP="0047121F">
                  <w:pPr>
                    <w:pStyle w:val="DecimalAligned"/>
                    <w:widowControl w:val="0"/>
                    <w:tabs>
                      <w:tab w:val="clear" w:pos="360"/>
                      <w:tab w:val="left" w:pos="352"/>
                      <w:tab w:val="left" w:pos="464"/>
                    </w:tabs>
                    <w:autoSpaceDE w:val="0"/>
                    <w:autoSpaceDN w:val="0"/>
                    <w:adjustRightInd w:val="0"/>
                    <w:spacing w:after="0" w:line="240" w:lineRule="auto"/>
                    <w:jc w:val="both"/>
                    <w:rPr>
                      <w:rFonts w:asciiTheme="minorHAnsi" w:hAnsiTheme="minorHAnsi" w:cstheme="minorHAnsi"/>
                      <w:color w:val="000000"/>
                      <w:sz w:val="18"/>
                      <w:szCs w:val="18"/>
                    </w:rPr>
                  </w:pPr>
                  <w:r w:rsidRPr="00846EEE">
                    <w:rPr>
                      <w:rFonts w:asciiTheme="minorHAnsi" w:hAnsiTheme="minorHAnsi" w:cstheme="minorHAnsi"/>
                      <w:color w:val="000000"/>
                      <w:sz w:val="18"/>
                      <w:szCs w:val="18"/>
                    </w:rPr>
                    <w:t xml:space="preserve">For and on behalf of the </w:t>
                  </w:r>
                  <w:r w:rsidR="00D5041B" w:rsidRPr="00846EEE">
                    <w:rPr>
                      <w:rFonts w:asciiTheme="minorHAnsi" w:hAnsiTheme="minorHAnsi" w:cstheme="minorHAnsi"/>
                      <w:color w:val="000000"/>
                      <w:sz w:val="18"/>
                      <w:szCs w:val="18"/>
                    </w:rPr>
                    <w:t xml:space="preserve">Board </w:t>
                  </w:r>
                  <w:r w:rsidRPr="00846EEE">
                    <w:rPr>
                      <w:rFonts w:asciiTheme="minorHAnsi" w:hAnsiTheme="minorHAnsi" w:cstheme="minorHAnsi"/>
                      <w:color w:val="000000"/>
                      <w:sz w:val="18"/>
                      <w:szCs w:val="18"/>
                    </w:rPr>
                    <w:t xml:space="preserve">of </w:t>
                  </w:r>
                  <w:r w:rsidR="00D5041B" w:rsidRPr="00846EEE">
                    <w:rPr>
                      <w:rFonts w:asciiTheme="minorHAnsi" w:hAnsiTheme="minorHAnsi" w:cstheme="minorHAnsi"/>
                      <w:color w:val="000000"/>
                      <w:sz w:val="18"/>
                      <w:szCs w:val="18"/>
                    </w:rPr>
                    <w:t>D</w:t>
                  </w:r>
                  <w:r w:rsidR="00FE73EF" w:rsidRPr="00846EEE">
                    <w:rPr>
                      <w:rFonts w:asciiTheme="minorHAnsi" w:hAnsiTheme="minorHAnsi" w:cstheme="minorHAnsi"/>
                      <w:color w:val="000000"/>
                      <w:sz w:val="18"/>
                      <w:szCs w:val="18"/>
                    </w:rPr>
                    <w:t>irectors</w:t>
                  </w:r>
                </w:p>
                <w:p w14:paraId="2AAEE038" w14:textId="77777777" w:rsidR="00040697" w:rsidRPr="00846EEE" w:rsidRDefault="00040697" w:rsidP="0047121F">
                  <w:pPr>
                    <w:pStyle w:val="DecimalAligned"/>
                    <w:widowControl w:val="0"/>
                    <w:tabs>
                      <w:tab w:val="clear" w:pos="360"/>
                      <w:tab w:val="left" w:pos="352"/>
                      <w:tab w:val="left" w:pos="464"/>
                    </w:tabs>
                    <w:autoSpaceDE w:val="0"/>
                    <w:autoSpaceDN w:val="0"/>
                    <w:adjustRightInd w:val="0"/>
                    <w:spacing w:after="0" w:line="240" w:lineRule="auto"/>
                    <w:jc w:val="both"/>
                    <w:rPr>
                      <w:rFonts w:asciiTheme="minorHAnsi" w:hAnsiTheme="minorHAnsi" w:cstheme="minorHAnsi"/>
                      <w:color w:val="00000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7"/>
                    <w:gridCol w:w="6740"/>
                  </w:tblGrid>
                  <w:tr w:rsidR="00A8294B" w:rsidRPr="00551D5A" w14:paraId="243D6BD2" w14:textId="77777777" w:rsidTr="009A34E1">
                    <w:trPr>
                      <w:trHeight w:val="586"/>
                    </w:trPr>
                    <w:tc>
                      <w:tcPr>
                        <w:tcW w:w="3117" w:type="dxa"/>
                      </w:tcPr>
                      <w:p w14:paraId="11DC7F9D" w14:textId="77777777" w:rsidR="00A8294B" w:rsidRPr="00846EEE" w:rsidRDefault="00A8294B" w:rsidP="0047121F">
                        <w:pPr>
                          <w:pStyle w:val="DecimalAligned"/>
                          <w:widowControl w:val="0"/>
                          <w:tabs>
                            <w:tab w:val="clear" w:pos="360"/>
                            <w:tab w:val="left" w:pos="352"/>
                            <w:tab w:val="left" w:pos="464"/>
                          </w:tabs>
                          <w:autoSpaceDE w:val="0"/>
                          <w:autoSpaceDN w:val="0"/>
                          <w:adjustRightInd w:val="0"/>
                          <w:spacing w:after="0" w:line="240" w:lineRule="auto"/>
                          <w:jc w:val="both"/>
                          <w:rPr>
                            <w:rFonts w:asciiTheme="minorHAnsi" w:hAnsiTheme="minorHAnsi" w:cstheme="minorHAnsi"/>
                            <w:sz w:val="18"/>
                            <w:szCs w:val="18"/>
                          </w:rPr>
                        </w:pPr>
                        <w:r w:rsidRPr="00846EEE">
                          <w:rPr>
                            <w:rFonts w:asciiTheme="minorHAnsi" w:hAnsiTheme="minorHAnsi" w:cstheme="minorHAnsi"/>
                            <w:color w:val="000000"/>
                            <w:sz w:val="18"/>
                            <w:szCs w:val="18"/>
                          </w:rPr>
                          <w:t>Andrew Gossage</w:t>
                        </w:r>
                      </w:p>
                      <w:p w14:paraId="53187783" w14:textId="77777777" w:rsidR="00A8294B" w:rsidRPr="00846EEE" w:rsidRDefault="00A8294B" w:rsidP="0047121F">
                        <w:pPr>
                          <w:widowControl w:val="0"/>
                          <w:tabs>
                            <w:tab w:val="left" w:pos="464"/>
                          </w:tabs>
                          <w:autoSpaceDE w:val="0"/>
                          <w:autoSpaceDN w:val="0"/>
                          <w:adjustRightInd w:val="0"/>
                          <w:spacing w:after="0" w:line="240" w:lineRule="auto"/>
                          <w:jc w:val="both"/>
                          <w:rPr>
                            <w:rFonts w:asciiTheme="minorHAnsi" w:hAnsiTheme="minorHAnsi" w:cstheme="minorHAnsi"/>
                            <w:bCs/>
                            <w:color w:val="000000"/>
                            <w:sz w:val="18"/>
                            <w:szCs w:val="18"/>
                            <w:lang w:val="en-US" w:bidi="en-US"/>
                          </w:rPr>
                        </w:pPr>
                        <w:r w:rsidRPr="00846EEE">
                          <w:rPr>
                            <w:rFonts w:asciiTheme="minorHAnsi" w:hAnsiTheme="minorHAnsi" w:cstheme="minorHAnsi"/>
                            <w:bCs/>
                            <w:color w:val="000000"/>
                            <w:sz w:val="18"/>
                            <w:szCs w:val="18"/>
                            <w:lang w:val="en-US" w:bidi="en-US"/>
                          </w:rPr>
                          <w:t>Managing Director</w:t>
                        </w:r>
                      </w:p>
                      <w:p w14:paraId="6CADAF62" w14:textId="17079A94" w:rsidR="00A8294B" w:rsidRPr="00846EEE" w:rsidRDefault="00FF3F3F" w:rsidP="0047121F">
                        <w:pPr>
                          <w:widowControl w:val="0"/>
                          <w:tabs>
                            <w:tab w:val="left" w:pos="464"/>
                          </w:tabs>
                          <w:autoSpaceDE w:val="0"/>
                          <w:autoSpaceDN w:val="0"/>
                          <w:adjustRightInd w:val="0"/>
                          <w:spacing w:after="0" w:line="240" w:lineRule="auto"/>
                          <w:jc w:val="both"/>
                          <w:rPr>
                            <w:rFonts w:asciiTheme="minorHAnsi" w:hAnsiTheme="minorHAnsi" w:cstheme="minorHAnsi"/>
                            <w:bCs/>
                            <w:color w:val="000000"/>
                            <w:sz w:val="18"/>
                            <w:szCs w:val="18"/>
                            <w:lang w:val="en-US" w:bidi="en-US"/>
                          </w:rPr>
                        </w:pPr>
                        <w:r w:rsidRPr="00846EEE">
                          <w:rPr>
                            <w:rFonts w:asciiTheme="minorHAnsi" w:hAnsiTheme="minorHAnsi" w:cstheme="minorHAnsi"/>
                            <w:bCs/>
                            <w:color w:val="000000"/>
                            <w:sz w:val="18"/>
                            <w:szCs w:val="18"/>
                            <w:lang w:val="en-US" w:bidi="en-US"/>
                          </w:rPr>
                          <w:t>2</w:t>
                        </w:r>
                        <w:r w:rsidR="00E0628C" w:rsidRPr="00846EEE">
                          <w:rPr>
                            <w:rFonts w:asciiTheme="minorHAnsi" w:hAnsiTheme="minorHAnsi" w:cstheme="minorHAnsi"/>
                            <w:bCs/>
                            <w:color w:val="000000"/>
                            <w:sz w:val="18"/>
                            <w:szCs w:val="18"/>
                            <w:lang w:val="en-US" w:bidi="en-US"/>
                          </w:rPr>
                          <w:t>8</w:t>
                        </w:r>
                        <w:r w:rsidR="00A526AF" w:rsidRPr="00846EEE">
                          <w:rPr>
                            <w:rFonts w:asciiTheme="minorHAnsi" w:hAnsiTheme="minorHAnsi" w:cstheme="minorHAnsi"/>
                            <w:bCs/>
                            <w:color w:val="000000"/>
                            <w:sz w:val="18"/>
                            <w:szCs w:val="18"/>
                            <w:lang w:val="en-US" w:bidi="en-US"/>
                          </w:rPr>
                          <w:t xml:space="preserve"> </w:t>
                        </w:r>
                        <w:r w:rsidR="00BD0800" w:rsidRPr="00846EEE">
                          <w:rPr>
                            <w:rFonts w:asciiTheme="minorHAnsi" w:hAnsiTheme="minorHAnsi" w:cstheme="minorHAnsi"/>
                            <w:bCs/>
                            <w:color w:val="000000"/>
                            <w:sz w:val="18"/>
                            <w:szCs w:val="18"/>
                            <w:lang w:val="en-US" w:bidi="en-US"/>
                          </w:rPr>
                          <w:t>March</w:t>
                        </w:r>
                        <w:r w:rsidR="009A34E1" w:rsidRPr="00846EEE">
                          <w:rPr>
                            <w:rFonts w:asciiTheme="minorHAnsi" w:hAnsiTheme="minorHAnsi" w:cstheme="minorHAnsi"/>
                            <w:bCs/>
                            <w:color w:val="000000"/>
                            <w:sz w:val="18"/>
                            <w:szCs w:val="18"/>
                            <w:lang w:val="en-US" w:bidi="en-US"/>
                          </w:rPr>
                          <w:t xml:space="preserve"> 20</w:t>
                        </w:r>
                        <w:r w:rsidR="0047121F" w:rsidRPr="00846EEE">
                          <w:rPr>
                            <w:rFonts w:asciiTheme="minorHAnsi" w:hAnsiTheme="minorHAnsi" w:cstheme="minorHAnsi"/>
                            <w:bCs/>
                            <w:color w:val="000000"/>
                            <w:sz w:val="18"/>
                            <w:szCs w:val="18"/>
                            <w:lang w:val="en-US" w:bidi="en-US"/>
                          </w:rPr>
                          <w:t>23</w:t>
                        </w:r>
                      </w:p>
                    </w:tc>
                    <w:tc>
                      <w:tcPr>
                        <w:tcW w:w="6740" w:type="dxa"/>
                      </w:tcPr>
                      <w:p w14:paraId="5E2E37CA" w14:textId="19C1D8A4" w:rsidR="00A8294B" w:rsidRPr="00846EEE" w:rsidRDefault="00BD0800" w:rsidP="0047121F">
                        <w:pPr>
                          <w:widowControl w:val="0"/>
                          <w:tabs>
                            <w:tab w:val="left" w:pos="464"/>
                          </w:tabs>
                          <w:autoSpaceDE w:val="0"/>
                          <w:autoSpaceDN w:val="0"/>
                          <w:adjustRightInd w:val="0"/>
                          <w:spacing w:after="0" w:line="240" w:lineRule="auto"/>
                          <w:jc w:val="both"/>
                          <w:rPr>
                            <w:rFonts w:asciiTheme="minorHAnsi" w:hAnsiTheme="minorHAnsi" w:cstheme="minorHAnsi"/>
                            <w:bCs/>
                            <w:color w:val="000000"/>
                            <w:sz w:val="18"/>
                            <w:szCs w:val="18"/>
                            <w:lang w:val="en-US" w:bidi="en-US"/>
                          </w:rPr>
                        </w:pPr>
                        <w:r w:rsidRPr="00846EEE">
                          <w:rPr>
                            <w:rFonts w:asciiTheme="minorHAnsi" w:hAnsiTheme="minorHAnsi" w:cstheme="minorHAnsi"/>
                            <w:bCs/>
                            <w:color w:val="000000"/>
                            <w:sz w:val="18"/>
                            <w:szCs w:val="18"/>
                            <w:lang w:val="en-US" w:bidi="en-US"/>
                          </w:rPr>
                          <w:t>Chris Dent</w:t>
                        </w:r>
                      </w:p>
                      <w:p w14:paraId="2E1F1D85" w14:textId="77777777" w:rsidR="00A8294B" w:rsidRPr="00846EEE" w:rsidRDefault="001B21CA" w:rsidP="0047121F">
                        <w:pPr>
                          <w:widowControl w:val="0"/>
                          <w:tabs>
                            <w:tab w:val="left" w:pos="464"/>
                          </w:tabs>
                          <w:autoSpaceDE w:val="0"/>
                          <w:autoSpaceDN w:val="0"/>
                          <w:adjustRightInd w:val="0"/>
                          <w:spacing w:after="0" w:line="240" w:lineRule="auto"/>
                          <w:jc w:val="both"/>
                          <w:rPr>
                            <w:rFonts w:asciiTheme="minorHAnsi" w:hAnsiTheme="minorHAnsi" w:cstheme="minorHAnsi"/>
                            <w:bCs/>
                            <w:color w:val="000000"/>
                            <w:sz w:val="18"/>
                            <w:szCs w:val="18"/>
                            <w:lang w:val="en-US" w:bidi="en-US"/>
                          </w:rPr>
                        </w:pPr>
                        <w:r w:rsidRPr="00846EEE">
                          <w:rPr>
                            <w:rFonts w:asciiTheme="minorHAnsi" w:hAnsiTheme="minorHAnsi" w:cstheme="minorHAnsi"/>
                            <w:bCs/>
                            <w:color w:val="000000"/>
                            <w:sz w:val="18"/>
                            <w:szCs w:val="18"/>
                            <w:lang w:val="en-US" w:bidi="en-US"/>
                          </w:rPr>
                          <w:t>Chief Financial Officer</w:t>
                        </w:r>
                      </w:p>
                      <w:p w14:paraId="7ABC48AF" w14:textId="7D07F6AE" w:rsidR="00A8294B" w:rsidRPr="00846EEE" w:rsidRDefault="00FF3F3F" w:rsidP="0047121F">
                        <w:pPr>
                          <w:widowControl w:val="0"/>
                          <w:tabs>
                            <w:tab w:val="left" w:pos="464"/>
                          </w:tabs>
                          <w:autoSpaceDE w:val="0"/>
                          <w:autoSpaceDN w:val="0"/>
                          <w:adjustRightInd w:val="0"/>
                          <w:spacing w:after="0" w:line="240" w:lineRule="auto"/>
                          <w:jc w:val="both"/>
                          <w:rPr>
                            <w:rFonts w:asciiTheme="minorHAnsi" w:hAnsiTheme="minorHAnsi" w:cstheme="minorHAnsi"/>
                            <w:bCs/>
                            <w:color w:val="000000"/>
                            <w:sz w:val="18"/>
                            <w:szCs w:val="18"/>
                            <w:lang w:val="en-US" w:bidi="en-US"/>
                          </w:rPr>
                        </w:pPr>
                        <w:r w:rsidRPr="00846EEE">
                          <w:rPr>
                            <w:rFonts w:asciiTheme="minorHAnsi" w:hAnsiTheme="minorHAnsi" w:cstheme="minorHAnsi"/>
                            <w:bCs/>
                            <w:color w:val="000000"/>
                            <w:sz w:val="18"/>
                            <w:szCs w:val="18"/>
                            <w:lang w:val="en-US" w:bidi="en-US"/>
                          </w:rPr>
                          <w:t>2</w:t>
                        </w:r>
                        <w:r w:rsidR="00E0628C" w:rsidRPr="00846EEE">
                          <w:rPr>
                            <w:rFonts w:asciiTheme="minorHAnsi" w:hAnsiTheme="minorHAnsi" w:cstheme="minorHAnsi"/>
                            <w:bCs/>
                            <w:color w:val="000000"/>
                            <w:sz w:val="18"/>
                            <w:szCs w:val="18"/>
                            <w:lang w:val="en-US" w:bidi="en-US"/>
                          </w:rPr>
                          <w:t>8</w:t>
                        </w:r>
                        <w:r w:rsidR="00A526AF" w:rsidRPr="00846EEE">
                          <w:rPr>
                            <w:rFonts w:asciiTheme="minorHAnsi" w:hAnsiTheme="minorHAnsi" w:cstheme="minorHAnsi"/>
                            <w:bCs/>
                            <w:color w:val="000000"/>
                            <w:sz w:val="18"/>
                            <w:szCs w:val="18"/>
                            <w:lang w:val="en-US" w:bidi="en-US"/>
                          </w:rPr>
                          <w:t xml:space="preserve"> </w:t>
                        </w:r>
                        <w:r w:rsidR="00BD0800" w:rsidRPr="00846EEE">
                          <w:rPr>
                            <w:rFonts w:asciiTheme="minorHAnsi" w:hAnsiTheme="minorHAnsi" w:cstheme="minorHAnsi"/>
                            <w:bCs/>
                            <w:color w:val="000000"/>
                            <w:sz w:val="18"/>
                            <w:szCs w:val="18"/>
                            <w:lang w:val="en-US" w:bidi="en-US"/>
                          </w:rPr>
                          <w:t>March</w:t>
                        </w:r>
                        <w:r w:rsidR="009A34E1" w:rsidRPr="00846EEE">
                          <w:rPr>
                            <w:rFonts w:asciiTheme="minorHAnsi" w:hAnsiTheme="minorHAnsi" w:cstheme="minorHAnsi"/>
                            <w:bCs/>
                            <w:color w:val="000000"/>
                            <w:sz w:val="18"/>
                            <w:szCs w:val="18"/>
                            <w:lang w:val="en-US" w:bidi="en-US"/>
                          </w:rPr>
                          <w:t xml:space="preserve"> 20</w:t>
                        </w:r>
                        <w:r w:rsidR="0047121F" w:rsidRPr="00846EEE">
                          <w:rPr>
                            <w:rFonts w:asciiTheme="minorHAnsi" w:hAnsiTheme="minorHAnsi" w:cstheme="minorHAnsi"/>
                            <w:bCs/>
                            <w:color w:val="000000"/>
                            <w:sz w:val="18"/>
                            <w:szCs w:val="18"/>
                            <w:lang w:val="en-US" w:bidi="en-US"/>
                          </w:rPr>
                          <w:t>23</w:t>
                        </w:r>
                      </w:p>
                    </w:tc>
                  </w:tr>
                </w:tbl>
                <w:p w14:paraId="635E0FB5" w14:textId="77777777" w:rsidR="00AB3BFC" w:rsidRPr="00846EEE" w:rsidRDefault="00AB3BFC" w:rsidP="0047121F">
                  <w:pPr>
                    <w:widowControl w:val="0"/>
                    <w:tabs>
                      <w:tab w:val="left" w:pos="464"/>
                    </w:tabs>
                    <w:autoSpaceDE w:val="0"/>
                    <w:autoSpaceDN w:val="0"/>
                    <w:adjustRightInd w:val="0"/>
                    <w:spacing w:after="0" w:line="240" w:lineRule="auto"/>
                    <w:jc w:val="both"/>
                    <w:rPr>
                      <w:rFonts w:asciiTheme="minorHAnsi" w:hAnsiTheme="minorHAnsi" w:cstheme="minorHAnsi"/>
                      <w:bCs/>
                      <w:color w:val="000000"/>
                      <w:sz w:val="18"/>
                      <w:szCs w:val="18"/>
                      <w:highlight w:val="yellow"/>
                      <w:lang w:val="en-US" w:bidi="en-US"/>
                    </w:rPr>
                  </w:pPr>
                </w:p>
              </w:tc>
            </w:tr>
            <w:tr w:rsidR="00A8294B" w:rsidRPr="00551D5A" w14:paraId="28A53ED0" w14:textId="77777777" w:rsidTr="00FE67DF">
              <w:trPr>
                <w:trHeight w:val="95"/>
              </w:trPr>
              <w:tc>
                <w:tcPr>
                  <w:tcW w:w="9650" w:type="dxa"/>
                  <w:tcBorders>
                    <w:top w:val="nil"/>
                    <w:left w:val="nil"/>
                    <w:bottom w:val="nil"/>
                    <w:right w:val="nil"/>
                  </w:tcBorders>
                  <w:shd w:val="clear" w:color="auto" w:fill="auto"/>
                </w:tcPr>
                <w:p w14:paraId="1301018D" w14:textId="77777777" w:rsidR="00014EF0" w:rsidRPr="00846EEE" w:rsidRDefault="00014EF0" w:rsidP="0047121F">
                  <w:pPr>
                    <w:widowControl w:val="0"/>
                    <w:tabs>
                      <w:tab w:val="left" w:pos="464"/>
                    </w:tabs>
                    <w:autoSpaceDE w:val="0"/>
                    <w:autoSpaceDN w:val="0"/>
                    <w:adjustRightInd w:val="0"/>
                    <w:spacing w:after="0" w:line="240" w:lineRule="auto"/>
                    <w:jc w:val="both"/>
                    <w:rPr>
                      <w:rFonts w:asciiTheme="minorHAnsi" w:hAnsiTheme="minorHAnsi" w:cstheme="minorHAnsi"/>
                      <w:b/>
                      <w:bCs/>
                      <w:color w:val="000000"/>
                      <w:sz w:val="18"/>
                      <w:szCs w:val="18"/>
                      <w:lang w:val="en-US" w:bidi="en-US"/>
                    </w:rPr>
                  </w:pPr>
                </w:p>
              </w:tc>
            </w:tr>
          </w:tbl>
          <w:p w14:paraId="66677B11" w14:textId="77777777" w:rsidR="00136633" w:rsidRPr="00846EEE" w:rsidRDefault="00136633" w:rsidP="0047121F">
            <w:pPr>
              <w:spacing w:after="0" w:line="240" w:lineRule="auto"/>
              <w:rPr>
                <w:rFonts w:asciiTheme="minorHAnsi" w:hAnsiTheme="minorHAnsi" w:cstheme="minorHAnsi"/>
                <w:b/>
                <w:color w:val="000000"/>
                <w:sz w:val="18"/>
                <w:szCs w:val="18"/>
              </w:rPr>
            </w:pPr>
          </w:p>
        </w:tc>
      </w:tr>
    </w:tbl>
    <w:p w14:paraId="4BEEDF94" w14:textId="77777777" w:rsidR="000872AC" w:rsidRPr="00846EEE" w:rsidRDefault="000872AC" w:rsidP="00846EEE">
      <w:pPr>
        <w:spacing w:after="0" w:line="240" w:lineRule="auto"/>
        <w:rPr>
          <w:rFonts w:cs="Calibri"/>
          <w:b/>
          <w:color w:val="000000"/>
          <w:sz w:val="20"/>
          <w:szCs w:val="20"/>
        </w:rPr>
      </w:pPr>
    </w:p>
    <w:sectPr w:rsidR="000872AC" w:rsidRPr="00846EEE" w:rsidSect="00990409">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4CBC0" w14:textId="77777777" w:rsidR="00321728" w:rsidRPr="003573AB" w:rsidRDefault="00321728" w:rsidP="003573AB">
      <w:pPr>
        <w:spacing w:after="0" w:line="240" w:lineRule="auto"/>
      </w:pPr>
      <w:r>
        <w:separator/>
      </w:r>
    </w:p>
  </w:endnote>
  <w:endnote w:type="continuationSeparator" w:id="0">
    <w:p w14:paraId="5DDDAE6C" w14:textId="77777777" w:rsidR="00321728" w:rsidRPr="003573AB" w:rsidRDefault="00321728" w:rsidP="00357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ESCO Modern">
    <w:altName w:val="TESCO Modern"/>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3EDD9" w14:textId="77777777" w:rsidR="00CA1244" w:rsidRPr="00761839" w:rsidRDefault="00CA1244" w:rsidP="005C1CFC">
    <w:pPr>
      <w:pStyle w:val="Footer"/>
    </w:pPr>
    <w:r>
      <w:rPr>
        <w:sz w:val="16"/>
        <w:szCs w:val="16"/>
      </w:rPr>
      <w:fldChar w:fldCharType="begin"/>
    </w:r>
    <w:r>
      <w:rPr>
        <w:sz w:val="16"/>
        <w:szCs w:val="16"/>
      </w:rPr>
      <w:instrText xml:space="preserve"> PAGE </w:instrText>
    </w:r>
    <w:r>
      <w:rPr>
        <w:sz w:val="16"/>
        <w:szCs w:val="16"/>
      </w:rPr>
      <w:fldChar w:fldCharType="separate"/>
    </w:r>
    <w:r w:rsidR="00843475">
      <w:rPr>
        <w:noProof/>
        <w:sz w:val="16"/>
        <w:szCs w:val="16"/>
      </w:rPr>
      <w:t>8</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82973442"/>
      <w:docPartObj>
        <w:docPartGallery w:val="Page Numbers (Bottom of Page)"/>
        <w:docPartUnique/>
      </w:docPartObj>
    </w:sdtPr>
    <w:sdtEndPr>
      <w:rPr>
        <w:noProof/>
      </w:rPr>
    </w:sdtEndPr>
    <w:sdtContent>
      <w:p w14:paraId="473C8DB9" w14:textId="77777777" w:rsidR="00CA1244" w:rsidRPr="004B25D4" w:rsidRDefault="00CA1244">
        <w:pPr>
          <w:pStyle w:val="Footer"/>
          <w:rPr>
            <w:sz w:val="20"/>
            <w:szCs w:val="20"/>
          </w:rPr>
        </w:pPr>
        <w:r w:rsidRPr="004B25D4">
          <w:rPr>
            <w:sz w:val="20"/>
            <w:szCs w:val="20"/>
          </w:rPr>
          <w:fldChar w:fldCharType="begin"/>
        </w:r>
        <w:r w:rsidRPr="004B25D4">
          <w:rPr>
            <w:sz w:val="20"/>
            <w:szCs w:val="20"/>
          </w:rPr>
          <w:instrText xml:space="preserve"> PAGE   \* MERGEFORMAT </w:instrText>
        </w:r>
        <w:r w:rsidRPr="004B25D4">
          <w:rPr>
            <w:sz w:val="20"/>
            <w:szCs w:val="20"/>
          </w:rPr>
          <w:fldChar w:fldCharType="separate"/>
        </w:r>
        <w:r w:rsidR="00B52960">
          <w:rPr>
            <w:noProof/>
            <w:sz w:val="20"/>
            <w:szCs w:val="20"/>
          </w:rPr>
          <w:t>1</w:t>
        </w:r>
        <w:r w:rsidRPr="004B25D4">
          <w:rPr>
            <w:noProof/>
            <w:sz w:val="20"/>
            <w:szCs w:val="20"/>
          </w:rPr>
          <w:fldChar w:fldCharType="end"/>
        </w:r>
      </w:p>
    </w:sdtContent>
  </w:sdt>
  <w:p w14:paraId="7915DE53" w14:textId="77777777" w:rsidR="00CA1244" w:rsidRDefault="00CA12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2D250" w14:textId="77777777" w:rsidR="00CA1244" w:rsidRDefault="00CA1244" w:rsidP="005C1CFC">
    <w:pPr>
      <w:pStyle w:val="Footer"/>
    </w:pPr>
    <w:r>
      <w:rPr>
        <w:sz w:val="16"/>
        <w:szCs w:val="16"/>
      </w:rPr>
      <w:fldChar w:fldCharType="begin"/>
    </w:r>
    <w:r>
      <w:rPr>
        <w:sz w:val="16"/>
        <w:szCs w:val="16"/>
      </w:rPr>
      <w:instrText xml:space="preserve"> PAGE </w:instrText>
    </w:r>
    <w:r>
      <w:rPr>
        <w:sz w:val="16"/>
        <w:szCs w:val="16"/>
      </w:rPr>
      <w:fldChar w:fldCharType="separate"/>
    </w:r>
    <w:r w:rsidR="006005D4">
      <w:rPr>
        <w:noProof/>
        <w:sz w:val="16"/>
        <w:szCs w:val="16"/>
      </w:rPr>
      <w:t>10</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FF5B1" w14:textId="77777777" w:rsidR="00321728" w:rsidRPr="003573AB" w:rsidRDefault="00321728" w:rsidP="003573AB">
      <w:pPr>
        <w:spacing w:after="0" w:line="240" w:lineRule="auto"/>
      </w:pPr>
      <w:r>
        <w:separator/>
      </w:r>
    </w:p>
  </w:footnote>
  <w:footnote w:type="continuationSeparator" w:id="0">
    <w:p w14:paraId="038E801D" w14:textId="77777777" w:rsidR="00321728" w:rsidRPr="003573AB" w:rsidRDefault="00321728" w:rsidP="003573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78BC5" w14:textId="77777777" w:rsidR="00CA1244" w:rsidRDefault="00CA12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550"/>
    <w:multiLevelType w:val="hybridMultilevel"/>
    <w:tmpl w:val="764A6806"/>
    <w:lvl w:ilvl="0" w:tplc="E13069E8">
      <w:start w:val="1"/>
      <w:numFmt w:val="decimal"/>
      <w:lvlText w:val="%1."/>
      <w:lvlJc w:val="left"/>
      <w:pPr>
        <w:ind w:left="825" w:hanging="36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1" w15:restartNumberingAfterBreak="0">
    <w:nsid w:val="02FC21D3"/>
    <w:multiLevelType w:val="hybridMultilevel"/>
    <w:tmpl w:val="AFA4DB32"/>
    <w:lvl w:ilvl="0" w:tplc="BD725B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93274"/>
    <w:multiLevelType w:val="hybridMultilevel"/>
    <w:tmpl w:val="95F0B8C0"/>
    <w:lvl w:ilvl="0" w:tplc="522844BE">
      <w:start w:val="1"/>
      <w:numFmt w:val="decimal"/>
      <w:lvlText w:val="%1."/>
      <w:lvlJc w:val="left"/>
      <w:pPr>
        <w:ind w:left="825" w:hanging="36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3" w15:restartNumberingAfterBreak="0">
    <w:nsid w:val="04B36A2B"/>
    <w:multiLevelType w:val="hybridMultilevel"/>
    <w:tmpl w:val="4B102696"/>
    <w:lvl w:ilvl="0" w:tplc="EC9CC5C2">
      <w:start w:val="1"/>
      <w:numFmt w:val="decimal"/>
      <w:lvlText w:val="%1."/>
      <w:lvlJc w:val="left"/>
      <w:pPr>
        <w:ind w:left="825" w:hanging="36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4" w15:restartNumberingAfterBreak="0">
    <w:nsid w:val="04E90134"/>
    <w:multiLevelType w:val="hybridMultilevel"/>
    <w:tmpl w:val="8BC44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FB04D7"/>
    <w:multiLevelType w:val="hybridMultilevel"/>
    <w:tmpl w:val="83C0DD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3E740D"/>
    <w:multiLevelType w:val="hybridMultilevel"/>
    <w:tmpl w:val="37785276"/>
    <w:lvl w:ilvl="0" w:tplc="30CEA2D4">
      <w:start w:val="1"/>
      <w:numFmt w:val="decimal"/>
      <w:lvlText w:val="%1."/>
      <w:lvlJc w:val="left"/>
      <w:pPr>
        <w:ind w:left="825" w:hanging="36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7" w15:restartNumberingAfterBreak="0">
    <w:nsid w:val="074811FE"/>
    <w:multiLevelType w:val="hybridMultilevel"/>
    <w:tmpl w:val="C5A4C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B97BB4"/>
    <w:multiLevelType w:val="hybridMultilevel"/>
    <w:tmpl w:val="48A65E60"/>
    <w:lvl w:ilvl="0" w:tplc="6C5688C4">
      <w:start w:val="1"/>
      <w:numFmt w:val="decimal"/>
      <w:lvlText w:val="%1."/>
      <w:lvlJc w:val="left"/>
      <w:pPr>
        <w:ind w:left="825" w:hanging="36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9" w15:restartNumberingAfterBreak="0">
    <w:nsid w:val="0C8D2F79"/>
    <w:multiLevelType w:val="hybridMultilevel"/>
    <w:tmpl w:val="FB1C2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0E6828"/>
    <w:multiLevelType w:val="hybridMultilevel"/>
    <w:tmpl w:val="8B443D0C"/>
    <w:lvl w:ilvl="0" w:tplc="8E528512">
      <w:start w:val="1"/>
      <w:numFmt w:val="decimal"/>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ED53B91"/>
    <w:multiLevelType w:val="hybridMultilevel"/>
    <w:tmpl w:val="1702FE04"/>
    <w:lvl w:ilvl="0" w:tplc="F6D4A7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3B06EA"/>
    <w:multiLevelType w:val="hybridMultilevel"/>
    <w:tmpl w:val="F7E6F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7765A9"/>
    <w:multiLevelType w:val="multilevel"/>
    <w:tmpl w:val="7304C8A6"/>
    <w:lvl w:ilvl="0">
      <w:start w:val="1"/>
      <w:numFmt w:val="decimal"/>
      <w:lvlText w:val="%1."/>
      <w:lvlJc w:val="left"/>
      <w:pPr>
        <w:ind w:left="720" w:hanging="360"/>
      </w:pPr>
      <w:rPr>
        <w:rFonts w:hint="default"/>
        <w:b/>
        <w:color w:val="auto"/>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0E01D55"/>
    <w:multiLevelType w:val="hybridMultilevel"/>
    <w:tmpl w:val="4C023D02"/>
    <w:lvl w:ilvl="0" w:tplc="BE682456">
      <w:start w:val="1"/>
      <w:numFmt w:val="decimal"/>
      <w:lvlText w:val="%1."/>
      <w:lvlJc w:val="left"/>
      <w:pPr>
        <w:ind w:left="825" w:hanging="36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15" w15:restartNumberingAfterBreak="0">
    <w:nsid w:val="12E50644"/>
    <w:multiLevelType w:val="hybridMultilevel"/>
    <w:tmpl w:val="AA82A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57E2AB6"/>
    <w:multiLevelType w:val="hybridMultilevel"/>
    <w:tmpl w:val="F3DCF460"/>
    <w:lvl w:ilvl="0" w:tplc="F6C8F6DC">
      <w:start w:val="1"/>
      <w:numFmt w:val="decimal"/>
      <w:lvlText w:val="%1."/>
      <w:lvlJc w:val="left"/>
      <w:pPr>
        <w:ind w:left="825" w:hanging="36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17" w15:restartNumberingAfterBreak="0">
    <w:nsid w:val="164D37CF"/>
    <w:multiLevelType w:val="hybridMultilevel"/>
    <w:tmpl w:val="091836B4"/>
    <w:lvl w:ilvl="0" w:tplc="B7CEF65E">
      <w:start w:val="1"/>
      <w:numFmt w:val="decimal"/>
      <w:lvlText w:val="%1."/>
      <w:lvlJc w:val="left"/>
      <w:pPr>
        <w:ind w:left="825" w:hanging="36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18" w15:restartNumberingAfterBreak="0">
    <w:nsid w:val="170962D8"/>
    <w:multiLevelType w:val="hybridMultilevel"/>
    <w:tmpl w:val="9DF41BE4"/>
    <w:lvl w:ilvl="0" w:tplc="968A92D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5B4B63"/>
    <w:multiLevelType w:val="hybridMultilevel"/>
    <w:tmpl w:val="947CBD78"/>
    <w:lvl w:ilvl="0" w:tplc="9140D602">
      <w:start w:val="1"/>
      <w:numFmt w:val="decimal"/>
      <w:lvlText w:val="%1."/>
      <w:lvlJc w:val="left"/>
      <w:pPr>
        <w:ind w:left="795" w:hanging="435"/>
      </w:pPr>
      <w:rPr>
        <w:rFonts w:eastAsia="Times New Roman"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16D7FAC"/>
    <w:multiLevelType w:val="hybridMultilevel"/>
    <w:tmpl w:val="0840F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4156665"/>
    <w:multiLevelType w:val="hybridMultilevel"/>
    <w:tmpl w:val="E95629D8"/>
    <w:lvl w:ilvl="0" w:tplc="2A382926">
      <w:start w:val="1"/>
      <w:numFmt w:val="decimal"/>
      <w:lvlText w:val="%1."/>
      <w:lvlJc w:val="left"/>
      <w:pPr>
        <w:ind w:left="825" w:hanging="36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22" w15:restartNumberingAfterBreak="0">
    <w:nsid w:val="244A5ADE"/>
    <w:multiLevelType w:val="hybridMultilevel"/>
    <w:tmpl w:val="9490C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4727460"/>
    <w:multiLevelType w:val="hybridMultilevel"/>
    <w:tmpl w:val="9E9E88B4"/>
    <w:lvl w:ilvl="0" w:tplc="15583398">
      <w:start w:val="1"/>
      <w:numFmt w:val="decimal"/>
      <w:lvlText w:val="%1."/>
      <w:lvlJc w:val="left"/>
      <w:pPr>
        <w:ind w:left="825" w:hanging="36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24" w15:restartNumberingAfterBreak="0">
    <w:nsid w:val="27912D96"/>
    <w:multiLevelType w:val="hybridMultilevel"/>
    <w:tmpl w:val="8A9E43C4"/>
    <w:lvl w:ilvl="0" w:tplc="AE92A6E8">
      <w:start w:val="1"/>
      <w:numFmt w:val="decimal"/>
      <w:lvlText w:val="%1."/>
      <w:lvlJc w:val="left"/>
      <w:pPr>
        <w:ind w:left="825" w:hanging="36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25" w15:restartNumberingAfterBreak="0">
    <w:nsid w:val="2A1222EB"/>
    <w:multiLevelType w:val="hybridMultilevel"/>
    <w:tmpl w:val="6DDC0D3C"/>
    <w:lvl w:ilvl="0" w:tplc="29FAB466">
      <w:start w:val="1"/>
      <w:numFmt w:val="decimal"/>
      <w:lvlText w:val="%1."/>
      <w:lvlJc w:val="left"/>
      <w:pPr>
        <w:ind w:left="360" w:hanging="360"/>
      </w:pPr>
      <w:rPr>
        <w:rFonts w:ascii="Calibri" w:hAnsi="Calibri" w:hint="default"/>
        <w:b w:val="0"/>
        <w:i w:val="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C78452B"/>
    <w:multiLevelType w:val="hybridMultilevel"/>
    <w:tmpl w:val="733E9B98"/>
    <w:lvl w:ilvl="0" w:tplc="6A441C8C">
      <w:start w:val="1"/>
      <w:numFmt w:val="decimal"/>
      <w:lvlText w:val="%1."/>
      <w:lvlJc w:val="left"/>
      <w:pPr>
        <w:ind w:left="825" w:hanging="36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27" w15:restartNumberingAfterBreak="0">
    <w:nsid w:val="2DFC6355"/>
    <w:multiLevelType w:val="hybridMultilevel"/>
    <w:tmpl w:val="4FF27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E85574D"/>
    <w:multiLevelType w:val="hybridMultilevel"/>
    <w:tmpl w:val="DF8EDA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F162489"/>
    <w:multiLevelType w:val="hybridMultilevel"/>
    <w:tmpl w:val="90D6D5A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31857C92"/>
    <w:multiLevelType w:val="hybridMultilevel"/>
    <w:tmpl w:val="5E4C15F8"/>
    <w:lvl w:ilvl="0" w:tplc="616249B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4112ABF"/>
    <w:multiLevelType w:val="multilevel"/>
    <w:tmpl w:val="7304C8A6"/>
    <w:lvl w:ilvl="0">
      <w:start w:val="1"/>
      <w:numFmt w:val="decimal"/>
      <w:lvlText w:val="%1."/>
      <w:lvlJc w:val="left"/>
      <w:pPr>
        <w:ind w:left="720" w:hanging="360"/>
      </w:pPr>
      <w:rPr>
        <w:rFonts w:hint="default"/>
        <w:b/>
        <w:color w:val="auto"/>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35DC7B44"/>
    <w:multiLevelType w:val="hybridMultilevel"/>
    <w:tmpl w:val="30F0BF80"/>
    <w:lvl w:ilvl="0" w:tplc="D12E8C62">
      <w:start w:val="1"/>
      <w:numFmt w:val="decimal"/>
      <w:lvlText w:val="%1."/>
      <w:lvlJc w:val="left"/>
      <w:pPr>
        <w:ind w:left="825" w:hanging="36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33" w15:restartNumberingAfterBreak="0">
    <w:nsid w:val="374F0503"/>
    <w:multiLevelType w:val="hybridMultilevel"/>
    <w:tmpl w:val="55F4D916"/>
    <w:lvl w:ilvl="0" w:tplc="F6140606">
      <w:start w:val="1"/>
      <w:numFmt w:val="decimal"/>
      <w:lvlText w:val="%1."/>
      <w:lvlJc w:val="left"/>
      <w:pPr>
        <w:ind w:left="825" w:hanging="36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34" w15:restartNumberingAfterBreak="0">
    <w:nsid w:val="37BE3E91"/>
    <w:multiLevelType w:val="hybridMultilevel"/>
    <w:tmpl w:val="0C8CC2CA"/>
    <w:lvl w:ilvl="0" w:tplc="FFDAEA02">
      <w:start w:val="1"/>
      <w:numFmt w:val="decimal"/>
      <w:lvlText w:val="%1."/>
      <w:lvlJc w:val="left"/>
      <w:pPr>
        <w:ind w:left="825" w:hanging="36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35" w15:restartNumberingAfterBreak="0">
    <w:nsid w:val="383E5ACA"/>
    <w:multiLevelType w:val="hybridMultilevel"/>
    <w:tmpl w:val="F49CC17A"/>
    <w:lvl w:ilvl="0" w:tplc="7BEC9D32">
      <w:start w:val="1"/>
      <w:numFmt w:val="decimal"/>
      <w:lvlText w:val="%1."/>
      <w:lvlJc w:val="left"/>
      <w:pPr>
        <w:ind w:left="825" w:hanging="36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36" w15:restartNumberingAfterBreak="0">
    <w:nsid w:val="3BFB3F71"/>
    <w:multiLevelType w:val="hybridMultilevel"/>
    <w:tmpl w:val="571079C2"/>
    <w:lvl w:ilvl="0" w:tplc="97E47C62">
      <w:start w:val="1"/>
      <w:numFmt w:val="decimal"/>
      <w:lvlText w:val="%1."/>
      <w:lvlJc w:val="left"/>
      <w:pPr>
        <w:ind w:left="825" w:hanging="36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37" w15:restartNumberingAfterBreak="0">
    <w:nsid w:val="3C0B43F5"/>
    <w:multiLevelType w:val="hybridMultilevel"/>
    <w:tmpl w:val="DC1E2D1A"/>
    <w:lvl w:ilvl="0" w:tplc="31E8E86A">
      <w:start w:val="1"/>
      <w:numFmt w:val="decimal"/>
      <w:lvlText w:val="%1."/>
      <w:lvlJc w:val="left"/>
      <w:pPr>
        <w:ind w:left="825" w:hanging="36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38" w15:restartNumberingAfterBreak="0">
    <w:nsid w:val="3EBF5F72"/>
    <w:multiLevelType w:val="hybridMultilevel"/>
    <w:tmpl w:val="71D46238"/>
    <w:lvl w:ilvl="0" w:tplc="4B6AB856">
      <w:start w:val="1"/>
      <w:numFmt w:val="decimal"/>
      <w:lvlText w:val="%1."/>
      <w:lvlJc w:val="left"/>
      <w:pPr>
        <w:ind w:left="825" w:hanging="36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39" w15:restartNumberingAfterBreak="0">
    <w:nsid w:val="40D15368"/>
    <w:multiLevelType w:val="hybridMultilevel"/>
    <w:tmpl w:val="1E9C91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5D67101"/>
    <w:multiLevelType w:val="hybridMultilevel"/>
    <w:tmpl w:val="070A6F1C"/>
    <w:lvl w:ilvl="0" w:tplc="5FAC9E28">
      <w:start w:val="1"/>
      <w:numFmt w:val="decimal"/>
      <w:lvlText w:val="%1."/>
      <w:lvlJc w:val="left"/>
      <w:pPr>
        <w:ind w:left="825" w:hanging="36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41" w15:restartNumberingAfterBreak="0">
    <w:nsid w:val="47E27126"/>
    <w:multiLevelType w:val="hybridMultilevel"/>
    <w:tmpl w:val="46604364"/>
    <w:lvl w:ilvl="0" w:tplc="3E5A74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93C380E"/>
    <w:multiLevelType w:val="hybridMultilevel"/>
    <w:tmpl w:val="509623BA"/>
    <w:lvl w:ilvl="0" w:tplc="65EC8FE8">
      <w:start w:val="1"/>
      <w:numFmt w:val="decimal"/>
      <w:lvlText w:val="%1."/>
      <w:lvlJc w:val="left"/>
      <w:pPr>
        <w:ind w:left="825" w:hanging="36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43" w15:restartNumberingAfterBreak="0">
    <w:nsid w:val="4DB85755"/>
    <w:multiLevelType w:val="hybridMultilevel"/>
    <w:tmpl w:val="3EEE7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DF27541"/>
    <w:multiLevelType w:val="hybridMultilevel"/>
    <w:tmpl w:val="5972BE52"/>
    <w:lvl w:ilvl="0" w:tplc="4BF69136">
      <w:start w:val="1"/>
      <w:numFmt w:val="decimal"/>
      <w:lvlText w:val="%1."/>
      <w:lvlJc w:val="left"/>
      <w:pPr>
        <w:ind w:left="1800" w:hanging="360"/>
      </w:pPr>
      <w:rPr>
        <w:rFonts w:ascii="Calibri" w:hAnsi="Calibri" w:hint="default"/>
        <w:b w:val="0"/>
        <w:i w:val="0"/>
        <w:sz w:val="16"/>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5" w15:restartNumberingAfterBreak="0">
    <w:nsid w:val="4E9F67D0"/>
    <w:multiLevelType w:val="hybridMultilevel"/>
    <w:tmpl w:val="B1E06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0EE040F"/>
    <w:multiLevelType w:val="hybridMultilevel"/>
    <w:tmpl w:val="A8543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A20901"/>
    <w:multiLevelType w:val="hybridMultilevel"/>
    <w:tmpl w:val="1CE4CB46"/>
    <w:lvl w:ilvl="0" w:tplc="678024C6">
      <w:start w:val="1"/>
      <w:numFmt w:val="decimal"/>
      <w:lvlText w:val="%1."/>
      <w:lvlJc w:val="left"/>
      <w:pPr>
        <w:ind w:left="825" w:hanging="36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48" w15:restartNumberingAfterBreak="0">
    <w:nsid w:val="53B33DB1"/>
    <w:multiLevelType w:val="hybridMultilevel"/>
    <w:tmpl w:val="B3FC4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50269C8"/>
    <w:multiLevelType w:val="hybridMultilevel"/>
    <w:tmpl w:val="C30A1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5474BD8"/>
    <w:multiLevelType w:val="hybridMultilevel"/>
    <w:tmpl w:val="0988057C"/>
    <w:lvl w:ilvl="0" w:tplc="00620764">
      <w:start w:val="1"/>
      <w:numFmt w:val="decimal"/>
      <w:lvlText w:val="%1."/>
      <w:lvlJc w:val="left"/>
      <w:pPr>
        <w:ind w:left="825" w:hanging="36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51" w15:restartNumberingAfterBreak="0">
    <w:nsid w:val="56FD7794"/>
    <w:multiLevelType w:val="hybridMultilevel"/>
    <w:tmpl w:val="5E881D7C"/>
    <w:lvl w:ilvl="0" w:tplc="3FE0D73C">
      <w:start w:val="1"/>
      <w:numFmt w:val="decimal"/>
      <w:lvlText w:val="%1."/>
      <w:lvlJc w:val="left"/>
      <w:pPr>
        <w:ind w:left="360" w:hanging="360"/>
      </w:pPr>
      <w:rPr>
        <w:rFonts w:ascii="Calibri" w:hAnsi="Calibri" w:hint="default"/>
        <w:b w:val="0"/>
        <w:i w:val="0"/>
        <w:sz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57A2260D"/>
    <w:multiLevelType w:val="hybridMultilevel"/>
    <w:tmpl w:val="794AA960"/>
    <w:lvl w:ilvl="0" w:tplc="CA8252B0">
      <w:start w:val="1"/>
      <w:numFmt w:val="decimal"/>
      <w:lvlText w:val="%1."/>
      <w:lvlJc w:val="left"/>
      <w:pPr>
        <w:ind w:left="825" w:hanging="36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53" w15:restartNumberingAfterBreak="0">
    <w:nsid w:val="5A6F25B9"/>
    <w:multiLevelType w:val="hybridMultilevel"/>
    <w:tmpl w:val="8A2638A4"/>
    <w:lvl w:ilvl="0" w:tplc="6F56D3D8">
      <w:start w:val="1"/>
      <w:numFmt w:val="decimal"/>
      <w:lvlText w:val="%1."/>
      <w:lvlJc w:val="left"/>
      <w:pPr>
        <w:ind w:left="825" w:hanging="36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54" w15:restartNumberingAfterBreak="0">
    <w:nsid w:val="5F0924C7"/>
    <w:multiLevelType w:val="hybridMultilevel"/>
    <w:tmpl w:val="A0266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6481DA6"/>
    <w:multiLevelType w:val="hybridMultilevel"/>
    <w:tmpl w:val="4A52A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84F6EE8"/>
    <w:multiLevelType w:val="hybridMultilevel"/>
    <w:tmpl w:val="581C9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3292F47"/>
    <w:multiLevelType w:val="hybridMultilevel"/>
    <w:tmpl w:val="D456721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4B34974"/>
    <w:multiLevelType w:val="hybridMultilevel"/>
    <w:tmpl w:val="AAF28256"/>
    <w:lvl w:ilvl="0" w:tplc="BDD4FF4C">
      <w:start w:val="1"/>
      <w:numFmt w:val="decimal"/>
      <w:lvlText w:val="%1."/>
      <w:lvlJc w:val="left"/>
      <w:pPr>
        <w:ind w:left="825" w:hanging="36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59" w15:restartNumberingAfterBreak="0">
    <w:nsid w:val="74DF6C20"/>
    <w:multiLevelType w:val="hybridMultilevel"/>
    <w:tmpl w:val="2884A2A8"/>
    <w:lvl w:ilvl="0" w:tplc="39D62F9C">
      <w:start w:val="1"/>
      <w:numFmt w:val="bullet"/>
      <w:pStyle w:val="BodyBullets"/>
      <w:lvlText w:val=""/>
      <w:lvlJc w:val="left"/>
      <w:pPr>
        <w:ind w:left="2628" w:hanging="360"/>
      </w:pPr>
      <w:rPr>
        <w:rFonts w:ascii="Symbol" w:hAnsi="Symbol" w:hint="default"/>
      </w:rPr>
    </w:lvl>
    <w:lvl w:ilvl="1" w:tplc="04090003">
      <w:start w:val="1"/>
      <w:numFmt w:val="bullet"/>
      <w:lvlText w:val="o"/>
      <w:lvlJc w:val="left"/>
      <w:pPr>
        <w:ind w:left="1440" w:hanging="360"/>
      </w:pPr>
      <w:rPr>
        <w:rFonts w:ascii="Courier" w:hAnsi="Courier"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5342392"/>
    <w:multiLevelType w:val="hybridMultilevel"/>
    <w:tmpl w:val="54A22598"/>
    <w:lvl w:ilvl="0" w:tplc="88B8A22A">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1" w15:restartNumberingAfterBreak="0">
    <w:nsid w:val="7DC8300E"/>
    <w:multiLevelType w:val="hybridMultilevel"/>
    <w:tmpl w:val="5972BE52"/>
    <w:lvl w:ilvl="0" w:tplc="4BF69136">
      <w:start w:val="1"/>
      <w:numFmt w:val="decimal"/>
      <w:lvlText w:val="%1."/>
      <w:lvlJc w:val="left"/>
      <w:pPr>
        <w:ind w:left="1800" w:hanging="360"/>
      </w:pPr>
      <w:rPr>
        <w:rFonts w:ascii="Calibri" w:hAnsi="Calibri" w:hint="default"/>
        <w:b w:val="0"/>
        <w:i w:val="0"/>
        <w:sz w:val="16"/>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2" w15:restartNumberingAfterBreak="0">
    <w:nsid w:val="7DD072C1"/>
    <w:multiLevelType w:val="hybridMultilevel"/>
    <w:tmpl w:val="3948CDE6"/>
    <w:lvl w:ilvl="0" w:tplc="E48A41EA">
      <w:start w:val="1"/>
      <w:numFmt w:val="decimal"/>
      <w:lvlText w:val="%1."/>
      <w:lvlJc w:val="left"/>
      <w:pPr>
        <w:ind w:left="825" w:hanging="36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num w:numId="1" w16cid:durableId="880559286">
    <w:abstractNumId w:val="31"/>
  </w:num>
  <w:num w:numId="2" w16cid:durableId="1295722706">
    <w:abstractNumId w:val="30"/>
  </w:num>
  <w:num w:numId="3" w16cid:durableId="724455854">
    <w:abstractNumId w:val="34"/>
  </w:num>
  <w:num w:numId="4" w16cid:durableId="768815866">
    <w:abstractNumId w:val="33"/>
  </w:num>
  <w:num w:numId="5" w16cid:durableId="2134788520">
    <w:abstractNumId w:val="36"/>
  </w:num>
  <w:num w:numId="6" w16cid:durableId="1469932176">
    <w:abstractNumId w:val="35"/>
  </w:num>
  <w:num w:numId="7" w16cid:durableId="1373574067">
    <w:abstractNumId w:val="21"/>
  </w:num>
  <w:num w:numId="8" w16cid:durableId="1341466774">
    <w:abstractNumId w:val="3"/>
  </w:num>
  <w:num w:numId="9" w16cid:durableId="717555317">
    <w:abstractNumId w:val="6"/>
  </w:num>
  <w:num w:numId="10" w16cid:durableId="781077433">
    <w:abstractNumId w:val="37"/>
  </w:num>
  <w:num w:numId="11" w16cid:durableId="1209413351">
    <w:abstractNumId w:val="16"/>
  </w:num>
  <w:num w:numId="12" w16cid:durableId="2021810146">
    <w:abstractNumId w:val="15"/>
  </w:num>
  <w:num w:numId="13" w16cid:durableId="1961649624">
    <w:abstractNumId w:val="26"/>
  </w:num>
  <w:num w:numId="14" w16cid:durableId="609943953">
    <w:abstractNumId w:val="53"/>
  </w:num>
  <w:num w:numId="15" w16cid:durableId="1532913634">
    <w:abstractNumId w:val="14"/>
  </w:num>
  <w:num w:numId="16" w16cid:durableId="1766219076">
    <w:abstractNumId w:val="52"/>
  </w:num>
  <w:num w:numId="17" w16cid:durableId="1986667386">
    <w:abstractNumId w:val="2"/>
  </w:num>
  <w:num w:numId="18" w16cid:durableId="78597473">
    <w:abstractNumId w:val="62"/>
  </w:num>
  <w:num w:numId="19" w16cid:durableId="672951652">
    <w:abstractNumId w:val="40"/>
  </w:num>
  <w:num w:numId="20" w16cid:durableId="342980072">
    <w:abstractNumId w:val="42"/>
  </w:num>
  <w:num w:numId="21" w16cid:durableId="1635255499">
    <w:abstractNumId w:val="50"/>
  </w:num>
  <w:num w:numId="22" w16cid:durableId="193855564">
    <w:abstractNumId w:val="4"/>
  </w:num>
  <w:num w:numId="23" w16cid:durableId="1781954850">
    <w:abstractNumId w:val="27"/>
  </w:num>
  <w:num w:numId="24" w16cid:durableId="1712028196">
    <w:abstractNumId w:val="48"/>
  </w:num>
  <w:num w:numId="25" w16cid:durableId="7799824">
    <w:abstractNumId w:val="32"/>
  </w:num>
  <w:num w:numId="26" w16cid:durableId="2030178199">
    <w:abstractNumId w:val="24"/>
  </w:num>
  <w:num w:numId="27" w16cid:durableId="417480242">
    <w:abstractNumId w:val="47"/>
  </w:num>
  <w:num w:numId="28" w16cid:durableId="154342620">
    <w:abstractNumId w:val="23"/>
  </w:num>
  <w:num w:numId="29" w16cid:durableId="1989244710">
    <w:abstractNumId w:val="0"/>
  </w:num>
  <w:num w:numId="30" w16cid:durableId="621112601">
    <w:abstractNumId w:val="58"/>
  </w:num>
  <w:num w:numId="31" w16cid:durableId="1913923593">
    <w:abstractNumId w:val="8"/>
  </w:num>
  <w:num w:numId="32" w16cid:durableId="1223102458">
    <w:abstractNumId w:val="17"/>
  </w:num>
  <w:num w:numId="33" w16cid:durableId="895822104">
    <w:abstractNumId w:val="38"/>
  </w:num>
  <w:num w:numId="34" w16cid:durableId="1245336599">
    <w:abstractNumId w:val="5"/>
  </w:num>
  <w:num w:numId="35" w16cid:durableId="248001945">
    <w:abstractNumId w:val="57"/>
  </w:num>
  <w:num w:numId="36" w16cid:durableId="249394999">
    <w:abstractNumId w:val="46"/>
  </w:num>
  <w:num w:numId="37" w16cid:durableId="49305551">
    <w:abstractNumId w:val="55"/>
  </w:num>
  <w:num w:numId="38" w16cid:durableId="371269944">
    <w:abstractNumId w:val="18"/>
  </w:num>
  <w:num w:numId="39" w16cid:durableId="544757167">
    <w:abstractNumId w:val="39"/>
  </w:num>
  <w:num w:numId="40" w16cid:durableId="1499954893">
    <w:abstractNumId w:val="29"/>
  </w:num>
  <w:num w:numId="41" w16cid:durableId="1525942779">
    <w:abstractNumId w:val="45"/>
  </w:num>
  <w:num w:numId="42" w16cid:durableId="866867660">
    <w:abstractNumId w:val="60"/>
  </w:num>
  <w:num w:numId="43" w16cid:durableId="107551540">
    <w:abstractNumId w:val="61"/>
  </w:num>
  <w:num w:numId="44" w16cid:durableId="858544273">
    <w:abstractNumId w:val="43"/>
  </w:num>
  <w:num w:numId="45" w16cid:durableId="1031371112">
    <w:abstractNumId w:val="51"/>
  </w:num>
  <w:num w:numId="46" w16cid:durableId="646596526">
    <w:abstractNumId w:val="25"/>
  </w:num>
  <w:num w:numId="47" w16cid:durableId="904485391">
    <w:abstractNumId w:val="41"/>
  </w:num>
  <w:num w:numId="48" w16cid:durableId="1495878222">
    <w:abstractNumId w:val="49"/>
  </w:num>
  <w:num w:numId="49" w16cid:durableId="26571430">
    <w:abstractNumId w:val="7"/>
  </w:num>
  <w:num w:numId="50" w16cid:durableId="775907993">
    <w:abstractNumId w:val="28"/>
  </w:num>
  <w:num w:numId="51" w16cid:durableId="1448086277">
    <w:abstractNumId w:val="12"/>
  </w:num>
  <w:num w:numId="52" w16cid:durableId="901058837">
    <w:abstractNumId w:val="19"/>
  </w:num>
  <w:num w:numId="53" w16cid:durableId="1548686527">
    <w:abstractNumId w:val="11"/>
  </w:num>
  <w:num w:numId="54" w16cid:durableId="208887005">
    <w:abstractNumId w:val="9"/>
  </w:num>
  <w:num w:numId="55" w16cid:durableId="1344895951">
    <w:abstractNumId w:val="44"/>
  </w:num>
  <w:num w:numId="56" w16cid:durableId="726421202">
    <w:abstractNumId w:val="56"/>
  </w:num>
  <w:num w:numId="57" w16cid:durableId="752049463">
    <w:abstractNumId w:val="20"/>
  </w:num>
  <w:num w:numId="58" w16cid:durableId="1140079739">
    <w:abstractNumId w:val="10"/>
  </w:num>
  <w:num w:numId="59" w16cid:durableId="406151550">
    <w:abstractNumId w:val="1"/>
  </w:num>
  <w:num w:numId="60" w16cid:durableId="9741545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073892683">
    <w:abstractNumId w:val="59"/>
  </w:num>
  <w:num w:numId="62" w16cid:durableId="1903372916">
    <w:abstractNumId w:val="54"/>
  </w:num>
  <w:num w:numId="63" w16cid:durableId="1434745080">
    <w:abstractNumId w:val="13"/>
  </w:num>
  <w:num w:numId="64" w16cid:durableId="2139179850">
    <w:abstractNumId w:val="2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4F3"/>
    <w:rsid w:val="00000DEC"/>
    <w:rsid w:val="000014CF"/>
    <w:rsid w:val="00002778"/>
    <w:rsid w:val="0000295E"/>
    <w:rsid w:val="00002962"/>
    <w:rsid w:val="00002ADA"/>
    <w:rsid w:val="00003759"/>
    <w:rsid w:val="00003F31"/>
    <w:rsid w:val="00004C7C"/>
    <w:rsid w:val="0000593A"/>
    <w:rsid w:val="00005BAA"/>
    <w:rsid w:val="00005D0A"/>
    <w:rsid w:val="000071EF"/>
    <w:rsid w:val="0000774F"/>
    <w:rsid w:val="000078A5"/>
    <w:rsid w:val="00007A5A"/>
    <w:rsid w:val="0001083B"/>
    <w:rsid w:val="00010F87"/>
    <w:rsid w:val="00010FF3"/>
    <w:rsid w:val="00011497"/>
    <w:rsid w:val="0001170E"/>
    <w:rsid w:val="00012D8B"/>
    <w:rsid w:val="00013206"/>
    <w:rsid w:val="000138C7"/>
    <w:rsid w:val="00014A48"/>
    <w:rsid w:val="00014EF0"/>
    <w:rsid w:val="0001640E"/>
    <w:rsid w:val="000176F0"/>
    <w:rsid w:val="00017AB9"/>
    <w:rsid w:val="00021564"/>
    <w:rsid w:val="0002241F"/>
    <w:rsid w:val="00023B76"/>
    <w:rsid w:val="00023BF7"/>
    <w:rsid w:val="000244F5"/>
    <w:rsid w:val="00027994"/>
    <w:rsid w:val="00027AC6"/>
    <w:rsid w:val="0003093F"/>
    <w:rsid w:val="00031C17"/>
    <w:rsid w:val="0003353D"/>
    <w:rsid w:val="00035529"/>
    <w:rsid w:val="0003706B"/>
    <w:rsid w:val="00037703"/>
    <w:rsid w:val="00040697"/>
    <w:rsid w:val="000410F2"/>
    <w:rsid w:val="00043451"/>
    <w:rsid w:val="000439D1"/>
    <w:rsid w:val="00044173"/>
    <w:rsid w:val="000442AC"/>
    <w:rsid w:val="00045C70"/>
    <w:rsid w:val="00045D89"/>
    <w:rsid w:val="000469A9"/>
    <w:rsid w:val="000475E3"/>
    <w:rsid w:val="00047DCD"/>
    <w:rsid w:val="00050121"/>
    <w:rsid w:val="00050670"/>
    <w:rsid w:val="00050972"/>
    <w:rsid w:val="000509CB"/>
    <w:rsid w:val="000520E8"/>
    <w:rsid w:val="000525DB"/>
    <w:rsid w:val="00053672"/>
    <w:rsid w:val="00053BF5"/>
    <w:rsid w:val="00054344"/>
    <w:rsid w:val="0005496C"/>
    <w:rsid w:val="00055F0C"/>
    <w:rsid w:val="00056162"/>
    <w:rsid w:val="00056531"/>
    <w:rsid w:val="000602BF"/>
    <w:rsid w:val="00062198"/>
    <w:rsid w:val="0006229C"/>
    <w:rsid w:val="00062D63"/>
    <w:rsid w:val="00063758"/>
    <w:rsid w:val="00064E5A"/>
    <w:rsid w:val="0006551E"/>
    <w:rsid w:val="00066F48"/>
    <w:rsid w:val="00067042"/>
    <w:rsid w:val="00067244"/>
    <w:rsid w:val="0006764A"/>
    <w:rsid w:val="00070168"/>
    <w:rsid w:val="00072EDF"/>
    <w:rsid w:val="00073353"/>
    <w:rsid w:val="000734AD"/>
    <w:rsid w:val="00075757"/>
    <w:rsid w:val="00075795"/>
    <w:rsid w:val="00075C7C"/>
    <w:rsid w:val="00076245"/>
    <w:rsid w:val="00081CD4"/>
    <w:rsid w:val="00082969"/>
    <w:rsid w:val="0008494B"/>
    <w:rsid w:val="00084E1A"/>
    <w:rsid w:val="00085871"/>
    <w:rsid w:val="00085C3F"/>
    <w:rsid w:val="00086CA7"/>
    <w:rsid w:val="000872AC"/>
    <w:rsid w:val="00087553"/>
    <w:rsid w:val="00090318"/>
    <w:rsid w:val="00092DBA"/>
    <w:rsid w:val="0009341D"/>
    <w:rsid w:val="00093922"/>
    <w:rsid w:val="0009414B"/>
    <w:rsid w:val="00094F27"/>
    <w:rsid w:val="00095BA4"/>
    <w:rsid w:val="000969E2"/>
    <w:rsid w:val="00097461"/>
    <w:rsid w:val="0009777A"/>
    <w:rsid w:val="00097CC0"/>
    <w:rsid w:val="000A007F"/>
    <w:rsid w:val="000A00C3"/>
    <w:rsid w:val="000A144B"/>
    <w:rsid w:val="000A22A6"/>
    <w:rsid w:val="000A2F90"/>
    <w:rsid w:val="000A3734"/>
    <w:rsid w:val="000A39EB"/>
    <w:rsid w:val="000A7DBA"/>
    <w:rsid w:val="000B12E1"/>
    <w:rsid w:val="000B1303"/>
    <w:rsid w:val="000B2C0C"/>
    <w:rsid w:val="000B3835"/>
    <w:rsid w:val="000B4DA3"/>
    <w:rsid w:val="000B575D"/>
    <w:rsid w:val="000B69D4"/>
    <w:rsid w:val="000B7035"/>
    <w:rsid w:val="000B7498"/>
    <w:rsid w:val="000C01EF"/>
    <w:rsid w:val="000C1C1C"/>
    <w:rsid w:val="000C23AF"/>
    <w:rsid w:val="000C24A4"/>
    <w:rsid w:val="000C2934"/>
    <w:rsid w:val="000C3429"/>
    <w:rsid w:val="000C3D56"/>
    <w:rsid w:val="000C4CF7"/>
    <w:rsid w:val="000C7F80"/>
    <w:rsid w:val="000D017E"/>
    <w:rsid w:val="000D0B5F"/>
    <w:rsid w:val="000D105A"/>
    <w:rsid w:val="000D12A7"/>
    <w:rsid w:val="000D1FC4"/>
    <w:rsid w:val="000D2567"/>
    <w:rsid w:val="000D3160"/>
    <w:rsid w:val="000D3208"/>
    <w:rsid w:val="000D4CCC"/>
    <w:rsid w:val="000D5638"/>
    <w:rsid w:val="000D62C9"/>
    <w:rsid w:val="000D6695"/>
    <w:rsid w:val="000E1D17"/>
    <w:rsid w:val="000E3FE9"/>
    <w:rsid w:val="000E579F"/>
    <w:rsid w:val="000E58D0"/>
    <w:rsid w:val="000E5962"/>
    <w:rsid w:val="000E596B"/>
    <w:rsid w:val="000E7E6F"/>
    <w:rsid w:val="000F01DD"/>
    <w:rsid w:val="000F2B32"/>
    <w:rsid w:val="000F3DFA"/>
    <w:rsid w:val="000F4C09"/>
    <w:rsid w:val="000F556F"/>
    <w:rsid w:val="000F6C10"/>
    <w:rsid w:val="000F7C78"/>
    <w:rsid w:val="00100D49"/>
    <w:rsid w:val="00102E99"/>
    <w:rsid w:val="00103023"/>
    <w:rsid w:val="00104351"/>
    <w:rsid w:val="00104D68"/>
    <w:rsid w:val="00104D8D"/>
    <w:rsid w:val="001051DC"/>
    <w:rsid w:val="001054FE"/>
    <w:rsid w:val="00106403"/>
    <w:rsid w:val="00107467"/>
    <w:rsid w:val="00107782"/>
    <w:rsid w:val="001077BF"/>
    <w:rsid w:val="00113C1C"/>
    <w:rsid w:val="00113CB7"/>
    <w:rsid w:val="00116852"/>
    <w:rsid w:val="001176DB"/>
    <w:rsid w:val="001206C8"/>
    <w:rsid w:val="001215C2"/>
    <w:rsid w:val="001216D4"/>
    <w:rsid w:val="001218C3"/>
    <w:rsid w:val="00121C81"/>
    <w:rsid w:val="00121EA6"/>
    <w:rsid w:val="00121F74"/>
    <w:rsid w:val="00122217"/>
    <w:rsid w:val="00122855"/>
    <w:rsid w:val="00122D21"/>
    <w:rsid w:val="001233CB"/>
    <w:rsid w:val="00123B92"/>
    <w:rsid w:val="0012406C"/>
    <w:rsid w:val="00124169"/>
    <w:rsid w:val="0012481A"/>
    <w:rsid w:val="00125CF8"/>
    <w:rsid w:val="0012627A"/>
    <w:rsid w:val="0013164B"/>
    <w:rsid w:val="00132F13"/>
    <w:rsid w:val="00134412"/>
    <w:rsid w:val="0013446C"/>
    <w:rsid w:val="00135CBB"/>
    <w:rsid w:val="001362DF"/>
    <w:rsid w:val="00136633"/>
    <w:rsid w:val="00136E96"/>
    <w:rsid w:val="001373B6"/>
    <w:rsid w:val="00137778"/>
    <w:rsid w:val="00140716"/>
    <w:rsid w:val="00140D62"/>
    <w:rsid w:val="00140FE5"/>
    <w:rsid w:val="0014101B"/>
    <w:rsid w:val="00141260"/>
    <w:rsid w:val="00143D3A"/>
    <w:rsid w:val="001456C9"/>
    <w:rsid w:val="00145C55"/>
    <w:rsid w:val="0014733E"/>
    <w:rsid w:val="001479A6"/>
    <w:rsid w:val="00147FB1"/>
    <w:rsid w:val="00151024"/>
    <w:rsid w:val="0015153E"/>
    <w:rsid w:val="001525E0"/>
    <w:rsid w:val="001538B6"/>
    <w:rsid w:val="001540B8"/>
    <w:rsid w:val="00154592"/>
    <w:rsid w:val="0015557E"/>
    <w:rsid w:val="00157BC4"/>
    <w:rsid w:val="0016005A"/>
    <w:rsid w:val="00160791"/>
    <w:rsid w:val="00160A72"/>
    <w:rsid w:val="00160FCB"/>
    <w:rsid w:val="001613FB"/>
    <w:rsid w:val="001618EE"/>
    <w:rsid w:val="00163D01"/>
    <w:rsid w:val="00165EFE"/>
    <w:rsid w:val="001663EA"/>
    <w:rsid w:val="00170AF5"/>
    <w:rsid w:val="00171C26"/>
    <w:rsid w:val="0017327B"/>
    <w:rsid w:val="00173794"/>
    <w:rsid w:val="001739EB"/>
    <w:rsid w:val="00173F81"/>
    <w:rsid w:val="001750A0"/>
    <w:rsid w:val="0018235D"/>
    <w:rsid w:val="0018337C"/>
    <w:rsid w:val="0018445F"/>
    <w:rsid w:val="00184DF3"/>
    <w:rsid w:val="0018509E"/>
    <w:rsid w:val="00185FD1"/>
    <w:rsid w:val="00186733"/>
    <w:rsid w:val="0018729B"/>
    <w:rsid w:val="00190664"/>
    <w:rsid w:val="00190CB9"/>
    <w:rsid w:val="00191668"/>
    <w:rsid w:val="00191AFC"/>
    <w:rsid w:val="00192755"/>
    <w:rsid w:val="00193441"/>
    <w:rsid w:val="00193D87"/>
    <w:rsid w:val="00194428"/>
    <w:rsid w:val="0019650A"/>
    <w:rsid w:val="001974BB"/>
    <w:rsid w:val="001A03C8"/>
    <w:rsid w:val="001A14F8"/>
    <w:rsid w:val="001A2F6F"/>
    <w:rsid w:val="001A30BF"/>
    <w:rsid w:val="001A328A"/>
    <w:rsid w:val="001A5F1E"/>
    <w:rsid w:val="001A6C18"/>
    <w:rsid w:val="001B0113"/>
    <w:rsid w:val="001B02A1"/>
    <w:rsid w:val="001B035A"/>
    <w:rsid w:val="001B114E"/>
    <w:rsid w:val="001B21CA"/>
    <w:rsid w:val="001B26B7"/>
    <w:rsid w:val="001B2B71"/>
    <w:rsid w:val="001B3804"/>
    <w:rsid w:val="001B3AA6"/>
    <w:rsid w:val="001B645A"/>
    <w:rsid w:val="001B6BA0"/>
    <w:rsid w:val="001B7D9D"/>
    <w:rsid w:val="001C0409"/>
    <w:rsid w:val="001C1456"/>
    <w:rsid w:val="001C1FBF"/>
    <w:rsid w:val="001C2DE8"/>
    <w:rsid w:val="001C3A1A"/>
    <w:rsid w:val="001C4123"/>
    <w:rsid w:val="001C4692"/>
    <w:rsid w:val="001C4F29"/>
    <w:rsid w:val="001C549A"/>
    <w:rsid w:val="001C6F5D"/>
    <w:rsid w:val="001C6FAA"/>
    <w:rsid w:val="001D21B7"/>
    <w:rsid w:val="001D2E99"/>
    <w:rsid w:val="001D2F97"/>
    <w:rsid w:val="001D4172"/>
    <w:rsid w:val="001D69E8"/>
    <w:rsid w:val="001D7411"/>
    <w:rsid w:val="001D7BA0"/>
    <w:rsid w:val="001E086C"/>
    <w:rsid w:val="001E0C68"/>
    <w:rsid w:val="001E3305"/>
    <w:rsid w:val="001E4197"/>
    <w:rsid w:val="001E6BA7"/>
    <w:rsid w:val="001E7C5E"/>
    <w:rsid w:val="001F0084"/>
    <w:rsid w:val="001F0898"/>
    <w:rsid w:val="001F08C3"/>
    <w:rsid w:val="001F0D13"/>
    <w:rsid w:val="001F0DCB"/>
    <w:rsid w:val="001F1219"/>
    <w:rsid w:val="001F1B13"/>
    <w:rsid w:val="001F4FF3"/>
    <w:rsid w:val="001F57C6"/>
    <w:rsid w:val="001F5BBB"/>
    <w:rsid w:val="001F6AB2"/>
    <w:rsid w:val="001F6CA7"/>
    <w:rsid w:val="001F7723"/>
    <w:rsid w:val="00200200"/>
    <w:rsid w:val="00200203"/>
    <w:rsid w:val="00202982"/>
    <w:rsid w:val="00203C76"/>
    <w:rsid w:val="00205CCE"/>
    <w:rsid w:val="002064A8"/>
    <w:rsid w:val="00210344"/>
    <w:rsid w:val="00210504"/>
    <w:rsid w:val="00211768"/>
    <w:rsid w:val="00211D08"/>
    <w:rsid w:val="00212292"/>
    <w:rsid w:val="00214131"/>
    <w:rsid w:val="002144C0"/>
    <w:rsid w:val="00214614"/>
    <w:rsid w:val="00214DF5"/>
    <w:rsid w:val="00217BC0"/>
    <w:rsid w:val="00223A7B"/>
    <w:rsid w:val="00223E37"/>
    <w:rsid w:val="0022417F"/>
    <w:rsid w:val="0023056A"/>
    <w:rsid w:val="00231CBC"/>
    <w:rsid w:val="0023253F"/>
    <w:rsid w:val="00232994"/>
    <w:rsid w:val="00232AFB"/>
    <w:rsid w:val="002340A1"/>
    <w:rsid w:val="00234243"/>
    <w:rsid w:val="00237A83"/>
    <w:rsid w:val="00240F16"/>
    <w:rsid w:val="002412B4"/>
    <w:rsid w:val="00241AAA"/>
    <w:rsid w:val="00241F5C"/>
    <w:rsid w:val="00243251"/>
    <w:rsid w:val="00243A3F"/>
    <w:rsid w:val="0024431F"/>
    <w:rsid w:val="00244F4E"/>
    <w:rsid w:val="00246033"/>
    <w:rsid w:val="002463C0"/>
    <w:rsid w:val="00246514"/>
    <w:rsid w:val="002465C8"/>
    <w:rsid w:val="00246C3D"/>
    <w:rsid w:val="00250688"/>
    <w:rsid w:val="0025156B"/>
    <w:rsid w:val="00252EF7"/>
    <w:rsid w:val="0025383C"/>
    <w:rsid w:val="002545F7"/>
    <w:rsid w:val="00254621"/>
    <w:rsid w:val="0025778A"/>
    <w:rsid w:val="002646A6"/>
    <w:rsid w:val="00265C63"/>
    <w:rsid w:val="00266259"/>
    <w:rsid w:val="00267478"/>
    <w:rsid w:val="00267E1A"/>
    <w:rsid w:val="0027196F"/>
    <w:rsid w:val="002719E7"/>
    <w:rsid w:val="00272B05"/>
    <w:rsid w:val="002733CC"/>
    <w:rsid w:val="0027388B"/>
    <w:rsid w:val="00273FE4"/>
    <w:rsid w:val="002747F0"/>
    <w:rsid w:val="00274884"/>
    <w:rsid w:val="00275EB4"/>
    <w:rsid w:val="0027630B"/>
    <w:rsid w:val="002764BD"/>
    <w:rsid w:val="002766C6"/>
    <w:rsid w:val="00276730"/>
    <w:rsid w:val="00281536"/>
    <w:rsid w:val="002824BF"/>
    <w:rsid w:val="00283A7F"/>
    <w:rsid w:val="00286638"/>
    <w:rsid w:val="00286F34"/>
    <w:rsid w:val="0028711C"/>
    <w:rsid w:val="002876C4"/>
    <w:rsid w:val="002878B1"/>
    <w:rsid w:val="00287A79"/>
    <w:rsid w:val="002905DF"/>
    <w:rsid w:val="00291DAD"/>
    <w:rsid w:val="00294576"/>
    <w:rsid w:val="002945C7"/>
    <w:rsid w:val="00294712"/>
    <w:rsid w:val="002949B8"/>
    <w:rsid w:val="00294D15"/>
    <w:rsid w:val="00296337"/>
    <w:rsid w:val="00297AC2"/>
    <w:rsid w:val="00297F3C"/>
    <w:rsid w:val="002A02F2"/>
    <w:rsid w:val="002A0B64"/>
    <w:rsid w:val="002A0C5C"/>
    <w:rsid w:val="002A124E"/>
    <w:rsid w:val="002A22C4"/>
    <w:rsid w:val="002A5A8E"/>
    <w:rsid w:val="002A675F"/>
    <w:rsid w:val="002B052A"/>
    <w:rsid w:val="002B0E71"/>
    <w:rsid w:val="002B1C13"/>
    <w:rsid w:val="002B1E1E"/>
    <w:rsid w:val="002B2961"/>
    <w:rsid w:val="002B67B5"/>
    <w:rsid w:val="002B69DF"/>
    <w:rsid w:val="002B6CCC"/>
    <w:rsid w:val="002B711A"/>
    <w:rsid w:val="002C0215"/>
    <w:rsid w:val="002C0445"/>
    <w:rsid w:val="002C2911"/>
    <w:rsid w:val="002C5612"/>
    <w:rsid w:val="002C5A8A"/>
    <w:rsid w:val="002C6C95"/>
    <w:rsid w:val="002C79A8"/>
    <w:rsid w:val="002D0448"/>
    <w:rsid w:val="002D0909"/>
    <w:rsid w:val="002D266F"/>
    <w:rsid w:val="002D2DE3"/>
    <w:rsid w:val="002D4A92"/>
    <w:rsid w:val="002D56F6"/>
    <w:rsid w:val="002D7896"/>
    <w:rsid w:val="002E0058"/>
    <w:rsid w:val="002E094D"/>
    <w:rsid w:val="002E10E6"/>
    <w:rsid w:val="002E1259"/>
    <w:rsid w:val="002E2542"/>
    <w:rsid w:val="002E63A6"/>
    <w:rsid w:val="002E68B0"/>
    <w:rsid w:val="002E6A88"/>
    <w:rsid w:val="002E76FF"/>
    <w:rsid w:val="002E7ECA"/>
    <w:rsid w:val="002F0B87"/>
    <w:rsid w:val="002F1112"/>
    <w:rsid w:val="002F1421"/>
    <w:rsid w:val="002F158B"/>
    <w:rsid w:val="002F5837"/>
    <w:rsid w:val="002F5A04"/>
    <w:rsid w:val="002F5E5D"/>
    <w:rsid w:val="002F63CB"/>
    <w:rsid w:val="002F6BFA"/>
    <w:rsid w:val="002F7E0F"/>
    <w:rsid w:val="00301E37"/>
    <w:rsid w:val="003020A3"/>
    <w:rsid w:val="00302746"/>
    <w:rsid w:val="00302AB2"/>
    <w:rsid w:val="0030359E"/>
    <w:rsid w:val="00303E0F"/>
    <w:rsid w:val="00305662"/>
    <w:rsid w:val="00311A28"/>
    <w:rsid w:val="00313219"/>
    <w:rsid w:val="003139DB"/>
    <w:rsid w:val="00314016"/>
    <w:rsid w:val="00314F09"/>
    <w:rsid w:val="00315793"/>
    <w:rsid w:val="00316313"/>
    <w:rsid w:val="0031649A"/>
    <w:rsid w:val="0031653F"/>
    <w:rsid w:val="003200CA"/>
    <w:rsid w:val="00320947"/>
    <w:rsid w:val="00320C9E"/>
    <w:rsid w:val="00321728"/>
    <w:rsid w:val="003222F7"/>
    <w:rsid w:val="00323AFC"/>
    <w:rsid w:val="00325130"/>
    <w:rsid w:val="00326ECE"/>
    <w:rsid w:val="00327C65"/>
    <w:rsid w:val="00332891"/>
    <w:rsid w:val="00333114"/>
    <w:rsid w:val="003351C0"/>
    <w:rsid w:val="00337072"/>
    <w:rsid w:val="00337873"/>
    <w:rsid w:val="00340042"/>
    <w:rsid w:val="00341080"/>
    <w:rsid w:val="00341BEF"/>
    <w:rsid w:val="003425C7"/>
    <w:rsid w:val="00342880"/>
    <w:rsid w:val="00342949"/>
    <w:rsid w:val="00343D21"/>
    <w:rsid w:val="00344251"/>
    <w:rsid w:val="0034495F"/>
    <w:rsid w:val="00345124"/>
    <w:rsid w:val="00345CAC"/>
    <w:rsid w:val="003476C7"/>
    <w:rsid w:val="00347F9D"/>
    <w:rsid w:val="0035076F"/>
    <w:rsid w:val="003518B4"/>
    <w:rsid w:val="00351DF0"/>
    <w:rsid w:val="00352CA4"/>
    <w:rsid w:val="0035387A"/>
    <w:rsid w:val="00353912"/>
    <w:rsid w:val="00353E71"/>
    <w:rsid w:val="00354047"/>
    <w:rsid w:val="003548FD"/>
    <w:rsid w:val="003571CB"/>
    <w:rsid w:val="003573AB"/>
    <w:rsid w:val="0035797B"/>
    <w:rsid w:val="003600ED"/>
    <w:rsid w:val="00360555"/>
    <w:rsid w:val="00361D43"/>
    <w:rsid w:val="00361D7C"/>
    <w:rsid w:val="003628CF"/>
    <w:rsid w:val="003634D6"/>
    <w:rsid w:val="003643DD"/>
    <w:rsid w:val="00365AB2"/>
    <w:rsid w:val="0036657D"/>
    <w:rsid w:val="00366BEF"/>
    <w:rsid w:val="00366C75"/>
    <w:rsid w:val="00366F56"/>
    <w:rsid w:val="00367036"/>
    <w:rsid w:val="00367ABC"/>
    <w:rsid w:val="00367C93"/>
    <w:rsid w:val="003770B4"/>
    <w:rsid w:val="00377768"/>
    <w:rsid w:val="003827F5"/>
    <w:rsid w:val="00383F91"/>
    <w:rsid w:val="0038420A"/>
    <w:rsid w:val="00384857"/>
    <w:rsid w:val="003901F5"/>
    <w:rsid w:val="0039119E"/>
    <w:rsid w:val="00393098"/>
    <w:rsid w:val="003931AA"/>
    <w:rsid w:val="00394689"/>
    <w:rsid w:val="003A1553"/>
    <w:rsid w:val="003A2266"/>
    <w:rsid w:val="003A2DC5"/>
    <w:rsid w:val="003A37EE"/>
    <w:rsid w:val="003A4265"/>
    <w:rsid w:val="003A49F4"/>
    <w:rsid w:val="003A5040"/>
    <w:rsid w:val="003A5526"/>
    <w:rsid w:val="003B0F2E"/>
    <w:rsid w:val="003B14F0"/>
    <w:rsid w:val="003B2CB0"/>
    <w:rsid w:val="003B3D9F"/>
    <w:rsid w:val="003B4348"/>
    <w:rsid w:val="003B5A29"/>
    <w:rsid w:val="003B5D62"/>
    <w:rsid w:val="003B63DA"/>
    <w:rsid w:val="003B6619"/>
    <w:rsid w:val="003C026B"/>
    <w:rsid w:val="003C09CD"/>
    <w:rsid w:val="003C0C58"/>
    <w:rsid w:val="003C12D8"/>
    <w:rsid w:val="003C17E4"/>
    <w:rsid w:val="003C1C58"/>
    <w:rsid w:val="003C20BE"/>
    <w:rsid w:val="003C2D1C"/>
    <w:rsid w:val="003C3578"/>
    <w:rsid w:val="003C3E7D"/>
    <w:rsid w:val="003C5011"/>
    <w:rsid w:val="003C693F"/>
    <w:rsid w:val="003C76A2"/>
    <w:rsid w:val="003D11F4"/>
    <w:rsid w:val="003D21AD"/>
    <w:rsid w:val="003D23C3"/>
    <w:rsid w:val="003D290D"/>
    <w:rsid w:val="003D3080"/>
    <w:rsid w:val="003D34BF"/>
    <w:rsid w:val="003D34F3"/>
    <w:rsid w:val="003D4891"/>
    <w:rsid w:val="003D57D1"/>
    <w:rsid w:val="003D5E26"/>
    <w:rsid w:val="003D7754"/>
    <w:rsid w:val="003E020F"/>
    <w:rsid w:val="003E07C4"/>
    <w:rsid w:val="003E15FA"/>
    <w:rsid w:val="003E6861"/>
    <w:rsid w:val="003E7EBB"/>
    <w:rsid w:val="003F09CD"/>
    <w:rsid w:val="003F15D3"/>
    <w:rsid w:val="003F1779"/>
    <w:rsid w:val="003F18D5"/>
    <w:rsid w:val="003F22BD"/>
    <w:rsid w:val="003F2D1D"/>
    <w:rsid w:val="003F39F8"/>
    <w:rsid w:val="003F3A0C"/>
    <w:rsid w:val="003F509E"/>
    <w:rsid w:val="003F59FD"/>
    <w:rsid w:val="003F64AE"/>
    <w:rsid w:val="003F67E8"/>
    <w:rsid w:val="0040109A"/>
    <w:rsid w:val="004016BD"/>
    <w:rsid w:val="00402908"/>
    <w:rsid w:val="00402E23"/>
    <w:rsid w:val="004058A4"/>
    <w:rsid w:val="004074D8"/>
    <w:rsid w:val="004074F3"/>
    <w:rsid w:val="004113A0"/>
    <w:rsid w:val="00413481"/>
    <w:rsid w:val="00414559"/>
    <w:rsid w:val="00414BCB"/>
    <w:rsid w:val="004150BF"/>
    <w:rsid w:val="0041520F"/>
    <w:rsid w:val="004154D2"/>
    <w:rsid w:val="00415856"/>
    <w:rsid w:val="004158E8"/>
    <w:rsid w:val="004166FE"/>
    <w:rsid w:val="00417123"/>
    <w:rsid w:val="0042091A"/>
    <w:rsid w:val="004225F7"/>
    <w:rsid w:val="00423795"/>
    <w:rsid w:val="00423F4D"/>
    <w:rsid w:val="0042429B"/>
    <w:rsid w:val="0042706B"/>
    <w:rsid w:val="00430C13"/>
    <w:rsid w:val="00430F8F"/>
    <w:rsid w:val="004316C0"/>
    <w:rsid w:val="00431FD3"/>
    <w:rsid w:val="00433233"/>
    <w:rsid w:val="0043548B"/>
    <w:rsid w:val="00435B7D"/>
    <w:rsid w:val="0043625A"/>
    <w:rsid w:val="004365F9"/>
    <w:rsid w:val="00437045"/>
    <w:rsid w:val="00440A14"/>
    <w:rsid w:val="004420EF"/>
    <w:rsid w:val="0044299A"/>
    <w:rsid w:val="00442DCA"/>
    <w:rsid w:val="0044337B"/>
    <w:rsid w:val="00443AAF"/>
    <w:rsid w:val="00443CED"/>
    <w:rsid w:val="00446312"/>
    <w:rsid w:val="004474B2"/>
    <w:rsid w:val="00447DC4"/>
    <w:rsid w:val="00452D05"/>
    <w:rsid w:val="004544E1"/>
    <w:rsid w:val="00455874"/>
    <w:rsid w:val="004559FA"/>
    <w:rsid w:val="0045641F"/>
    <w:rsid w:val="004605AC"/>
    <w:rsid w:val="00460769"/>
    <w:rsid w:val="004614E6"/>
    <w:rsid w:val="00462037"/>
    <w:rsid w:val="00465271"/>
    <w:rsid w:val="00465569"/>
    <w:rsid w:val="00465F7D"/>
    <w:rsid w:val="00466571"/>
    <w:rsid w:val="0046699D"/>
    <w:rsid w:val="00466B8B"/>
    <w:rsid w:val="004671D5"/>
    <w:rsid w:val="004711B4"/>
    <w:rsid w:val="0047121F"/>
    <w:rsid w:val="004718BC"/>
    <w:rsid w:val="0047245D"/>
    <w:rsid w:val="004726F9"/>
    <w:rsid w:val="00473435"/>
    <w:rsid w:val="00473B06"/>
    <w:rsid w:val="00474605"/>
    <w:rsid w:val="0047690C"/>
    <w:rsid w:val="00476EB5"/>
    <w:rsid w:val="004800FE"/>
    <w:rsid w:val="004807F7"/>
    <w:rsid w:val="00481BA8"/>
    <w:rsid w:val="00482B99"/>
    <w:rsid w:val="004845E7"/>
    <w:rsid w:val="00486957"/>
    <w:rsid w:val="004877CA"/>
    <w:rsid w:val="00491067"/>
    <w:rsid w:val="00491769"/>
    <w:rsid w:val="00491955"/>
    <w:rsid w:val="00492492"/>
    <w:rsid w:val="0049527B"/>
    <w:rsid w:val="00495BB8"/>
    <w:rsid w:val="00495EF5"/>
    <w:rsid w:val="00496E40"/>
    <w:rsid w:val="00497D34"/>
    <w:rsid w:val="004A07ED"/>
    <w:rsid w:val="004A1A94"/>
    <w:rsid w:val="004A1CCB"/>
    <w:rsid w:val="004A3DF3"/>
    <w:rsid w:val="004A3E79"/>
    <w:rsid w:val="004A4055"/>
    <w:rsid w:val="004A46C4"/>
    <w:rsid w:val="004A7D34"/>
    <w:rsid w:val="004B0360"/>
    <w:rsid w:val="004B03D0"/>
    <w:rsid w:val="004B253D"/>
    <w:rsid w:val="004B3696"/>
    <w:rsid w:val="004B6135"/>
    <w:rsid w:val="004B63F5"/>
    <w:rsid w:val="004B64D3"/>
    <w:rsid w:val="004C1114"/>
    <w:rsid w:val="004C2517"/>
    <w:rsid w:val="004C29B4"/>
    <w:rsid w:val="004C2BE6"/>
    <w:rsid w:val="004C3B27"/>
    <w:rsid w:val="004C3EEB"/>
    <w:rsid w:val="004C48BE"/>
    <w:rsid w:val="004C4BE8"/>
    <w:rsid w:val="004C6327"/>
    <w:rsid w:val="004C773A"/>
    <w:rsid w:val="004D03BA"/>
    <w:rsid w:val="004D20C3"/>
    <w:rsid w:val="004D2DF4"/>
    <w:rsid w:val="004D5982"/>
    <w:rsid w:val="004D6592"/>
    <w:rsid w:val="004D7CBB"/>
    <w:rsid w:val="004E0A4B"/>
    <w:rsid w:val="004E15BC"/>
    <w:rsid w:val="004E235A"/>
    <w:rsid w:val="004E2675"/>
    <w:rsid w:val="004E2777"/>
    <w:rsid w:val="004E3E3E"/>
    <w:rsid w:val="004E472A"/>
    <w:rsid w:val="004E63BA"/>
    <w:rsid w:val="004E7A54"/>
    <w:rsid w:val="004F0CE0"/>
    <w:rsid w:val="004F0ECA"/>
    <w:rsid w:val="004F149F"/>
    <w:rsid w:val="004F16DE"/>
    <w:rsid w:val="004F21C2"/>
    <w:rsid w:val="004F2849"/>
    <w:rsid w:val="004F3530"/>
    <w:rsid w:val="004F369B"/>
    <w:rsid w:val="004F3799"/>
    <w:rsid w:val="004F568A"/>
    <w:rsid w:val="004F575D"/>
    <w:rsid w:val="004F6BCD"/>
    <w:rsid w:val="00502FE2"/>
    <w:rsid w:val="00505699"/>
    <w:rsid w:val="00505B57"/>
    <w:rsid w:val="00506958"/>
    <w:rsid w:val="00506B29"/>
    <w:rsid w:val="00506B94"/>
    <w:rsid w:val="00511021"/>
    <w:rsid w:val="0051159E"/>
    <w:rsid w:val="0051265C"/>
    <w:rsid w:val="00512B6F"/>
    <w:rsid w:val="00512ECA"/>
    <w:rsid w:val="00515291"/>
    <w:rsid w:val="005164CB"/>
    <w:rsid w:val="00516658"/>
    <w:rsid w:val="005166EE"/>
    <w:rsid w:val="0051670E"/>
    <w:rsid w:val="00516DEB"/>
    <w:rsid w:val="005177EB"/>
    <w:rsid w:val="00517D80"/>
    <w:rsid w:val="00521F00"/>
    <w:rsid w:val="00522220"/>
    <w:rsid w:val="005222D2"/>
    <w:rsid w:val="005223A1"/>
    <w:rsid w:val="00522763"/>
    <w:rsid w:val="005235AA"/>
    <w:rsid w:val="0052479A"/>
    <w:rsid w:val="00525F3F"/>
    <w:rsid w:val="0052650C"/>
    <w:rsid w:val="00526C48"/>
    <w:rsid w:val="00527D91"/>
    <w:rsid w:val="00530968"/>
    <w:rsid w:val="00530AA0"/>
    <w:rsid w:val="00530B3A"/>
    <w:rsid w:val="00530DF1"/>
    <w:rsid w:val="005319C4"/>
    <w:rsid w:val="00531D99"/>
    <w:rsid w:val="00532217"/>
    <w:rsid w:val="005327DF"/>
    <w:rsid w:val="00533069"/>
    <w:rsid w:val="005330E9"/>
    <w:rsid w:val="00533605"/>
    <w:rsid w:val="00534253"/>
    <w:rsid w:val="00534974"/>
    <w:rsid w:val="00534AA7"/>
    <w:rsid w:val="00535788"/>
    <w:rsid w:val="00535B03"/>
    <w:rsid w:val="00535E05"/>
    <w:rsid w:val="00537EE1"/>
    <w:rsid w:val="00540948"/>
    <w:rsid w:val="00541764"/>
    <w:rsid w:val="00541D84"/>
    <w:rsid w:val="00542D56"/>
    <w:rsid w:val="0054350C"/>
    <w:rsid w:val="00544CAD"/>
    <w:rsid w:val="0054720B"/>
    <w:rsid w:val="005475DC"/>
    <w:rsid w:val="00550863"/>
    <w:rsid w:val="005514E5"/>
    <w:rsid w:val="00551D5A"/>
    <w:rsid w:val="005529C2"/>
    <w:rsid w:val="00552E81"/>
    <w:rsid w:val="00553FAF"/>
    <w:rsid w:val="005545A6"/>
    <w:rsid w:val="005556D5"/>
    <w:rsid w:val="00556966"/>
    <w:rsid w:val="005613FB"/>
    <w:rsid w:val="005621B2"/>
    <w:rsid w:val="00562F90"/>
    <w:rsid w:val="00564407"/>
    <w:rsid w:val="0056461D"/>
    <w:rsid w:val="00566C41"/>
    <w:rsid w:val="005671E9"/>
    <w:rsid w:val="00567A63"/>
    <w:rsid w:val="005700C6"/>
    <w:rsid w:val="005701F9"/>
    <w:rsid w:val="005704C6"/>
    <w:rsid w:val="0057085D"/>
    <w:rsid w:val="005708C4"/>
    <w:rsid w:val="00571BA1"/>
    <w:rsid w:val="005725F6"/>
    <w:rsid w:val="00573CEB"/>
    <w:rsid w:val="00576649"/>
    <w:rsid w:val="005770B3"/>
    <w:rsid w:val="00577C68"/>
    <w:rsid w:val="00580430"/>
    <w:rsid w:val="00581381"/>
    <w:rsid w:val="005817FA"/>
    <w:rsid w:val="00581E2E"/>
    <w:rsid w:val="00582C74"/>
    <w:rsid w:val="00583983"/>
    <w:rsid w:val="005840E8"/>
    <w:rsid w:val="00584BF6"/>
    <w:rsid w:val="00584FE8"/>
    <w:rsid w:val="005855BF"/>
    <w:rsid w:val="0058726E"/>
    <w:rsid w:val="00590937"/>
    <w:rsid w:val="00590BE2"/>
    <w:rsid w:val="0059164F"/>
    <w:rsid w:val="00591671"/>
    <w:rsid w:val="00591B87"/>
    <w:rsid w:val="00591C96"/>
    <w:rsid w:val="00593824"/>
    <w:rsid w:val="00595B9A"/>
    <w:rsid w:val="00596FF4"/>
    <w:rsid w:val="00597BC7"/>
    <w:rsid w:val="00597C48"/>
    <w:rsid w:val="00597C91"/>
    <w:rsid w:val="005A0DE6"/>
    <w:rsid w:val="005A21B2"/>
    <w:rsid w:val="005A2BCB"/>
    <w:rsid w:val="005A3382"/>
    <w:rsid w:val="005A3CED"/>
    <w:rsid w:val="005A3FC6"/>
    <w:rsid w:val="005A4380"/>
    <w:rsid w:val="005A57C3"/>
    <w:rsid w:val="005B0495"/>
    <w:rsid w:val="005B04D6"/>
    <w:rsid w:val="005B075C"/>
    <w:rsid w:val="005B10BB"/>
    <w:rsid w:val="005B1E27"/>
    <w:rsid w:val="005B3FA8"/>
    <w:rsid w:val="005B47D0"/>
    <w:rsid w:val="005B4B49"/>
    <w:rsid w:val="005B5046"/>
    <w:rsid w:val="005B54BC"/>
    <w:rsid w:val="005B6097"/>
    <w:rsid w:val="005B6FCE"/>
    <w:rsid w:val="005B7CCA"/>
    <w:rsid w:val="005C141C"/>
    <w:rsid w:val="005C1CFC"/>
    <w:rsid w:val="005C218F"/>
    <w:rsid w:val="005C273F"/>
    <w:rsid w:val="005C3206"/>
    <w:rsid w:val="005C32FB"/>
    <w:rsid w:val="005C4531"/>
    <w:rsid w:val="005C58AA"/>
    <w:rsid w:val="005C697D"/>
    <w:rsid w:val="005C76E6"/>
    <w:rsid w:val="005D083F"/>
    <w:rsid w:val="005D1BEF"/>
    <w:rsid w:val="005D29A8"/>
    <w:rsid w:val="005D3473"/>
    <w:rsid w:val="005D3D4A"/>
    <w:rsid w:val="005D4C7B"/>
    <w:rsid w:val="005E071D"/>
    <w:rsid w:val="005E3194"/>
    <w:rsid w:val="005E435F"/>
    <w:rsid w:val="005E70A9"/>
    <w:rsid w:val="005F059E"/>
    <w:rsid w:val="005F2E2B"/>
    <w:rsid w:val="005F2E5E"/>
    <w:rsid w:val="005F306A"/>
    <w:rsid w:val="005F529B"/>
    <w:rsid w:val="005F5DD2"/>
    <w:rsid w:val="005F66D8"/>
    <w:rsid w:val="006005D4"/>
    <w:rsid w:val="00600B44"/>
    <w:rsid w:val="0060125E"/>
    <w:rsid w:val="00602E8C"/>
    <w:rsid w:val="006032E2"/>
    <w:rsid w:val="00606089"/>
    <w:rsid w:val="006060A4"/>
    <w:rsid w:val="0061041F"/>
    <w:rsid w:val="0061137D"/>
    <w:rsid w:val="00612B14"/>
    <w:rsid w:val="00613350"/>
    <w:rsid w:val="00614EE9"/>
    <w:rsid w:val="00617827"/>
    <w:rsid w:val="00617EC8"/>
    <w:rsid w:val="00621760"/>
    <w:rsid w:val="006217AE"/>
    <w:rsid w:val="00621EB9"/>
    <w:rsid w:val="00622B6B"/>
    <w:rsid w:val="00623CDD"/>
    <w:rsid w:val="00624073"/>
    <w:rsid w:val="00624FCC"/>
    <w:rsid w:val="00627C87"/>
    <w:rsid w:val="0063091A"/>
    <w:rsid w:val="006314B8"/>
    <w:rsid w:val="00632405"/>
    <w:rsid w:val="00633C6E"/>
    <w:rsid w:val="006341B1"/>
    <w:rsid w:val="006342E2"/>
    <w:rsid w:val="00634D44"/>
    <w:rsid w:val="00635C72"/>
    <w:rsid w:val="00637E10"/>
    <w:rsid w:val="00637E88"/>
    <w:rsid w:val="00642788"/>
    <w:rsid w:val="00642F9F"/>
    <w:rsid w:val="006431C0"/>
    <w:rsid w:val="006434CD"/>
    <w:rsid w:val="0064391C"/>
    <w:rsid w:val="006447D8"/>
    <w:rsid w:val="00647085"/>
    <w:rsid w:val="0064719B"/>
    <w:rsid w:val="00650BFF"/>
    <w:rsid w:val="00651022"/>
    <w:rsid w:val="00651ACD"/>
    <w:rsid w:val="00652D14"/>
    <w:rsid w:val="00654687"/>
    <w:rsid w:val="00654E7F"/>
    <w:rsid w:val="00655E40"/>
    <w:rsid w:val="00656BD8"/>
    <w:rsid w:val="00657A16"/>
    <w:rsid w:val="00657CEF"/>
    <w:rsid w:val="00657DA9"/>
    <w:rsid w:val="0066064A"/>
    <w:rsid w:val="00661221"/>
    <w:rsid w:val="00663CD4"/>
    <w:rsid w:val="00663EFF"/>
    <w:rsid w:val="006652CD"/>
    <w:rsid w:val="00665CDB"/>
    <w:rsid w:val="00666172"/>
    <w:rsid w:val="00666965"/>
    <w:rsid w:val="00667376"/>
    <w:rsid w:val="0066741D"/>
    <w:rsid w:val="00667A8E"/>
    <w:rsid w:val="00667F0C"/>
    <w:rsid w:val="00670414"/>
    <w:rsid w:val="006708FA"/>
    <w:rsid w:val="00671029"/>
    <w:rsid w:val="00671FEB"/>
    <w:rsid w:val="00673179"/>
    <w:rsid w:val="00673577"/>
    <w:rsid w:val="00676816"/>
    <w:rsid w:val="006772BB"/>
    <w:rsid w:val="00680CFC"/>
    <w:rsid w:val="00681090"/>
    <w:rsid w:val="00682207"/>
    <w:rsid w:val="00683A58"/>
    <w:rsid w:val="00684A4D"/>
    <w:rsid w:val="00684E81"/>
    <w:rsid w:val="006872F6"/>
    <w:rsid w:val="00687518"/>
    <w:rsid w:val="00690045"/>
    <w:rsid w:val="00690F35"/>
    <w:rsid w:val="006912E9"/>
    <w:rsid w:val="006922BD"/>
    <w:rsid w:val="00694BE3"/>
    <w:rsid w:val="00695717"/>
    <w:rsid w:val="00695EA6"/>
    <w:rsid w:val="006966B3"/>
    <w:rsid w:val="00696FD8"/>
    <w:rsid w:val="00697210"/>
    <w:rsid w:val="00697998"/>
    <w:rsid w:val="00697F88"/>
    <w:rsid w:val="00697FBF"/>
    <w:rsid w:val="006A0155"/>
    <w:rsid w:val="006A0C72"/>
    <w:rsid w:val="006A0CAC"/>
    <w:rsid w:val="006A0DAD"/>
    <w:rsid w:val="006A1415"/>
    <w:rsid w:val="006A1A44"/>
    <w:rsid w:val="006A2E5A"/>
    <w:rsid w:val="006A3261"/>
    <w:rsid w:val="006A3AD9"/>
    <w:rsid w:val="006A42C3"/>
    <w:rsid w:val="006A4344"/>
    <w:rsid w:val="006A5F16"/>
    <w:rsid w:val="006A7930"/>
    <w:rsid w:val="006A7F47"/>
    <w:rsid w:val="006B2A41"/>
    <w:rsid w:val="006B3796"/>
    <w:rsid w:val="006B4F4A"/>
    <w:rsid w:val="006B567C"/>
    <w:rsid w:val="006B6388"/>
    <w:rsid w:val="006B638E"/>
    <w:rsid w:val="006B7FCA"/>
    <w:rsid w:val="006C19E1"/>
    <w:rsid w:val="006C22CB"/>
    <w:rsid w:val="006C5259"/>
    <w:rsid w:val="006C61C5"/>
    <w:rsid w:val="006C6276"/>
    <w:rsid w:val="006D0496"/>
    <w:rsid w:val="006D07B1"/>
    <w:rsid w:val="006D07E0"/>
    <w:rsid w:val="006D11D1"/>
    <w:rsid w:val="006D25E2"/>
    <w:rsid w:val="006D26BB"/>
    <w:rsid w:val="006D4DD8"/>
    <w:rsid w:val="006D4FEA"/>
    <w:rsid w:val="006D50BF"/>
    <w:rsid w:val="006D6B7E"/>
    <w:rsid w:val="006D7346"/>
    <w:rsid w:val="006E030B"/>
    <w:rsid w:val="006E0846"/>
    <w:rsid w:val="006E172F"/>
    <w:rsid w:val="006E190D"/>
    <w:rsid w:val="006E1A7E"/>
    <w:rsid w:val="006E1D9D"/>
    <w:rsid w:val="006E2F6A"/>
    <w:rsid w:val="006E4498"/>
    <w:rsid w:val="006E49CB"/>
    <w:rsid w:val="006E55E3"/>
    <w:rsid w:val="006E5E75"/>
    <w:rsid w:val="006E6DF3"/>
    <w:rsid w:val="006E754E"/>
    <w:rsid w:val="006F0BD3"/>
    <w:rsid w:val="006F12BC"/>
    <w:rsid w:val="006F1312"/>
    <w:rsid w:val="006F416A"/>
    <w:rsid w:val="006F4F8C"/>
    <w:rsid w:val="006F506C"/>
    <w:rsid w:val="006F53D7"/>
    <w:rsid w:val="006F590D"/>
    <w:rsid w:val="006F5E7E"/>
    <w:rsid w:val="006F612A"/>
    <w:rsid w:val="006F7FB7"/>
    <w:rsid w:val="00700527"/>
    <w:rsid w:val="00700B04"/>
    <w:rsid w:val="00700EF5"/>
    <w:rsid w:val="007017F5"/>
    <w:rsid w:val="00703802"/>
    <w:rsid w:val="007042D1"/>
    <w:rsid w:val="007111A1"/>
    <w:rsid w:val="0071241B"/>
    <w:rsid w:val="00712AAE"/>
    <w:rsid w:val="007150E9"/>
    <w:rsid w:val="00717587"/>
    <w:rsid w:val="007204BA"/>
    <w:rsid w:val="007211D7"/>
    <w:rsid w:val="00721681"/>
    <w:rsid w:val="00722240"/>
    <w:rsid w:val="0072350A"/>
    <w:rsid w:val="007235C9"/>
    <w:rsid w:val="00724514"/>
    <w:rsid w:val="007245B0"/>
    <w:rsid w:val="00724A75"/>
    <w:rsid w:val="00725209"/>
    <w:rsid w:val="007267DB"/>
    <w:rsid w:val="00726DBB"/>
    <w:rsid w:val="0072768D"/>
    <w:rsid w:val="00727867"/>
    <w:rsid w:val="00730296"/>
    <w:rsid w:val="00730FFE"/>
    <w:rsid w:val="00732C29"/>
    <w:rsid w:val="00733223"/>
    <w:rsid w:val="00734A18"/>
    <w:rsid w:val="00734B98"/>
    <w:rsid w:val="00735494"/>
    <w:rsid w:val="007359E1"/>
    <w:rsid w:val="0074088C"/>
    <w:rsid w:val="00740CB7"/>
    <w:rsid w:val="00740E1E"/>
    <w:rsid w:val="007424CA"/>
    <w:rsid w:val="007425E0"/>
    <w:rsid w:val="00742765"/>
    <w:rsid w:val="007437EB"/>
    <w:rsid w:val="00745B1C"/>
    <w:rsid w:val="00745D66"/>
    <w:rsid w:val="00747B14"/>
    <w:rsid w:val="00753592"/>
    <w:rsid w:val="0075359E"/>
    <w:rsid w:val="007539EC"/>
    <w:rsid w:val="00754716"/>
    <w:rsid w:val="007579D3"/>
    <w:rsid w:val="00757A4A"/>
    <w:rsid w:val="00762C73"/>
    <w:rsid w:val="007647C4"/>
    <w:rsid w:val="0076594D"/>
    <w:rsid w:val="00766D76"/>
    <w:rsid w:val="00767D3C"/>
    <w:rsid w:val="00767E28"/>
    <w:rsid w:val="00770037"/>
    <w:rsid w:val="00770504"/>
    <w:rsid w:val="007708D4"/>
    <w:rsid w:val="007713CE"/>
    <w:rsid w:val="00771505"/>
    <w:rsid w:val="00771BD2"/>
    <w:rsid w:val="007731FE"/>
    <w:rsid w:val="00774388"/>
    <w:rsid w:val="00774D72"/>
    <w:rsid w:val="007756CF"/>
    <w:rsid w:val="00775B7B"/>
    <w:rsid w:val="00775E26"/>
    <w:rsid w:val="00775F3E"/>
    <w:rsid w:val="00776607"/>
    <w:rsid w:val="00777103"/>
    <w:rsid w:val="00781388"/>
    <w:rsid w:val="00781481"/>
    <w:rsid w:val="00781C85"/>
    <w:rsid w:val="0078246E"/>
    <w:rsid w:val="007827D6"/>
    <w:rsid w:val="007828A7"/>
    <w:rsid w:val="00782D28"/>
    <w:rsid w:val="00782FF1"/>
    <w:rsid w:val="007836EA"/>
    <w:rsid w:val="007837E8"/>
    <w:rsid w:val="00783808"/>
    <w:rsid w:val="00783B6D"/>
    <w:rsid w:val="00783FA0"/>
    <w:rsid w:val="00785012"/>
    <w:rsid w:val="007855C0"/>
    <w:rsid w:val="00786445"/>
    <w:rsid w:val="00787B8B"/>
    <w:rsid w:val="00793374"/>
    <w:rsid w:val="00793680"/>
    <w:rsid w:val="00794D48"/>
    <w:rsid w:val="007950DF"/>
    <w:rsid w:val="0079582A"/>
    <w:rsid w:val="00796FC3"/>
    <w:rsid w:val="00797549"/>
    <w:rsid w:val="00797C53"/>
    <w:rsid w:val="007A163C"/>
    <w:rsid w:val="007A34B1"/>
    <w:rsid w:val="007A4588"/>
    <w:rsid w:val="007A4781"/>
    <w:rsid w:val="007A5058"/>
    <w:rsid w:val="007A6000"/>
    <w:rsid w:val="007A6902"/>
    <w:rsid w:val="007A6D2F"/>
    <w:rsid w:val="007B076E"/>
    <w:rsid w:val="007B1172"/>
    <w:rsid w:val="007B1474"/>
    <w:rsid w:val="007B2B50"/>
    <w:rsid w:val="007B4410"/>
    <w:rsid w:val="007B5DE9"/>
    <w:rsid w:val="007B61B9"/>
    <w:rsid w:val="007B6763"/>
    <w:rsid w:val="007C09E7"/>
    <w:rsid w:val="007C0C67"/>
    <w:rsid w:val="007C1FD3"/>
    <w:rsid w:val="007C2E22"/>
    <w:rsid w:val="007C3E51"/>
    <w:rsid w:val="007C41BA"/>
    <w:rsid w:val="007C4CA6"/>
    <w:rsid w:val="007D0D01"/>
    <w:rsid w:val="007D0F37"/>
    <w:rsid w:val="007D10B3"/>
    <w:rsid w:val="007D1294"/>
    <w:rsid w:val="007D1898"/>
    <w:rsid w:val="007D1E1E"/>
    <w:rsid w:val="007D2132"/>
    <w:rsid w:val="007D3559"/>
    <w:rsid w:val="007D36E9"/>
    <w:rsid w:val="007D3AFA"/>
    <w:rsid w:val="007D40AD"/>
    <w:rsid w:val="007D425C"/>
    <w:rsid w:val="007D4486"/>
    <w:rsid w:val="007D6116"/>
    <w:rsid w:val="007E0C44"/>
    <w:rsid w:val="007E0FF1"/>
    <w:rsid w:val="007E2122"/>
    <w:rsid w:val="007E42A7"/>
    <w:rsid w:val="007E5128"/>
    <w:rsid w:val="007E6CAB"/>
    <w:rsid w:val="007E7B4E"/>
    <w:rsid w:val="007F0420"/>
    <w:rsid w:val="007F0F68"/>
    <w:rsid w:val="007F1E4A"/>
    <w:rsid w:val="007F271D"/>
    <w:rsid w:val="007F29BD"/>
    <w:rsid w:val="007F2ACD"/>
    <w:rsid w:val="007F3CDF"/>
    <w:rsid w:val="007F573D"/>
    <w:rsid w:val="007F5BD5"/>
    <w:rsid w:val="007F777D"/>
    <w:rsid w:val="008004BA"/>
    <w:rsid w:val="00800A82"/>
    <w:rsid w:val="00800D6F"/>
    <w:rsid w:val="00801F4D"/>
    <w:rsid w:val="00802173"/>
    <w:rsid w:val="00802CC3"/>
    <w:rsid w:val="00802CD3"/>
    <w:rsid w:val="0080305C"/>
    <w:rsid w:val="00804AE6"/>
    <w:rsid w:val="00804F24"/>
    <w:rsid w:val="008053CE"/>
    <w:rsid w:val="0080552B"/>
    <w:rsid w:val="0081015D"/>
    <w:rsid w:val="008120FB"/>
    <w:rsid w:val="00812F6F"/>
    <w:rsid w:val="0081329D"/>
    <w:rsid w:val="00814E52"/>
    <w:rsid w:val="00815455"/>
    <w:rsid w:val="008156C6"/>
    <w:rsid w:val="00815B4B"/>
    <w:rsid w:val="00815BC3"/>
    <w:rsid w:val="00816F21"/>
    <w:rsid w:val="008203EE"/>
    <w:rsid w:val="0082120B"/>
    <w:rsid w:val="00821344"/>
    <w:rsid w:val="00821989"/>
    <w:rsid w:val="00822260"/>
    <w:rsid w:val="00822731"/>
    <w:rsid w:val="00822900"/>
    <w:rsid w:val="00822DFE"/>
    <w:rsid w:val="00823A9A"/>
    <w:rsid w:val="00831664"/>
    <w:rsid w:val="008328E5"/>
    <w:rsid w:val="0083324A"/>
    <w:rsid w:val="00833F16"/>
    <w:rsid w:val="0083587B"/>
    <w:rsid w:val="008364E7"/>
    <w:rsid w:val="00836586"/>
    <w:rsid w:val="00836621"/>
    <w:rsid w:val="00837239"/>
    <w:rsid w:val="008426E7"/>
    <w:rsid w:val="008431B9"/>
    <w:rsid w:val="00843475"/>
    <w:rsid w:val="00843765"/>
    <w:rsid w:val="00844471"/>
    <w:rsid w:val="00845583"/>
    <w:rsid w:val="0084640C"/>
    <w:rsid w:val="008469DE"/>
    <w:rsid w:val="00846C15"/>
    <w:rsid w:val="00846D0B"/>
    <w:rsid w:val="00846EEE"/>
    <w:rsid w:val="00850429"/>
    <w:rsid w:val="00850B87"/>
    <w:rsid w:val="00853368"/>
    <w:rsid w:val="008549AD"/>
    <w:rsid w:val="008549BB"/>
    <w:rsid w:val="008569D9"/>
    <w:rsid w:val="00857048"/>
    <w:rsid w:val="00857C43"/>
    <w:rsid w:val="00861EA8"/>
    <w:rsid w:val="008624C4"/>
    <w:rsid w:val="0086270D"/>
    <w:rsid w:val="008629F5"/>
    <w:rsid w:val="00862C16"/>
    <w:rsid w:val="008640C0"/>
    <w:rsid w:val="00865B6D"/>
    <w:rsid w:val="00865D88"/>
    <w:rsid w:val="0086665F"/>
    <w:rsid w:val="008671A8"/>
    <w:rsid w:val="00871979"/>
    <w:rsid w:val="00871AD5"/>
    <w:rsid w:val="00872875"/>
    <w:rsid w:val="00872DF1"/>
    <w:rsid w:val="00873260"/>
    <w:rsid w:val="00873B70"/>
    <w:rsid w:val="00874859"/>
    <w:rsid w:val="00874904"/>
    <w:rsid w:val="00874F6A"/>
    <w:rsid w:val="00875191"/>
    <w:rsid w:val="0087647D"/>
    <w:rsid w:val="00876AEA"/>
    <w:rsid w:val="008809F6"/>
    <w:rsid w:val="00881574"/>
    <w:rsid w:val="0088157A"/>
    <w:rsid w:val="0088425D"/>
    <w:rsid w:val="0088575A"/>
    <w:rsid w:val="00885CB6"/>
    <w:rsid w:val="00886D90"/>
    <w:rsid w:val="0088716A"/>
    <w:rsid w:val="0089044A"/>
    <w:rsid w:val="00891000"/>
    <w:rsid w:val="0089219E"/>
    <w:rsid w:val="00892DAC"/>
    <w:rsid w:val="00894551"/>
    <w:rsid w:val="00895C5C"/>
    <w:rsid w:val="00896E1D"/>
    <w:rsid w:val="00897903"/>
    <w:rsid w:val="008A02FA"/>
    <w:rsid w:val="008A16BE"/>
    <w:rsid w:val="008A16E5"/>
    <w:rsid w:val="008A1B45"/>
    <w:rsid w:val="008A1DCD"/>
    <w:rsid w:val="008A26AF"/>
    <w:rsid w:val="008A283B"/>
    <w:rsid w:val="008A4231"/>
    <w:rsid w:val="008A5332"/>
    <w:rsid w:val="008A6929"/>
    <w:rsid w:val="008A6C32"/>
    <w:rsid w:val="008B1307"/>
    <w:rsid w:val="008B4023"/>
    <w:rsid w:val="008B4264"/>
    <w:rsid w:val="008B47AB"/>
    <w:rsid w:val="008B4A21"/>
    <w:rsid w:val="008B5180"/>
    <w:rsid w:val="008B5B93"/>
    <w:rsid w:val="008B679C"/>
    <w:rsid w:val="008B72F0"/>
    <w:rsid w:val="008C00EA"/>
    <w:rsid w:val="008C214D"/>
    <w:rsid w:val="008C25B2"/>
    <w:rsid w:val="008C6D7F"/>
    <w:rsid w:val="008C6E8B"/>
    <w:rsid w:val="008C6F46"/>
    <w:rsid w:val="008D006D"/>
    <w:rsid w:val="008D0CD7"/>
    <w:rsid w:val="008D2CC1"/>
    <w:rsid w:val="008D471C"/>
    <w:rsid w:val="008D5ECD"/>
    <w:rsid w:val="008D5FCB"/>
    <w:rsid w:val="008D64FD"/>
    <w:rsid w:val="008D7D2D"/>
    <w:rsid w:val="008E056C"/>
    <w:rsid w:val="008E0A2E"/>
    <w:rsid w:val="008E0F39"/>
    <w:rsid w:val="008E1637"/>
    <w:rsid w:val="008E165B"/>
    <w:rsid w:val="008E2C38"/>
    <w:rsid w:val="008E397C"/>
    <w:rsid w:val="008E47A2"/>
    <w:rsid w:val="008E5BAB"/>
    <w:rsid w:val="008E5F1E"/>
    <w:rsid w:val="008E6151"/>
    <w:rsid w:val="008E6362"/>
    <w:rsid w:val="008E6749"/>
    <w:rsid w:val="008E7710"/>
    <w:rsid w:val="008F0F08"/>
    <w:rsid w:val="008F14C6"/>
    <w:rsid w:val="008F1CB2"/>
    <w:rsid w:val="008F5515"/>
    <w:rsid w:val="008F6518"/>
    <w:rsid w:val="009016FF"/>
    <w:rsid w:val="00902DF6"/>
    <w:rsid w:val="009038C1"/>
    <w:rsid w:val="00903AF8"/>
    <w:rsid w:val="009048CC"/>
    <w:rsid w:val="009100F9"/>
    <w:rsid w:val="00911121"/>
    <w:rsid w:val="00911424"/>
    <w:rsid w:val="00912003"/>
    <w:rsid w:val="00913004"/>
    <w:rsid w:val="00916133"/>
    <w:rsid w:val="00916D0B"/>
    <w:rsid w:val="00920702"/>
    <w:rsid w:val="00921244"/>
    <w:rsid w:val="00922355"/>
    <w:rsid w:val="0092251D"/>
    <w:rsid w:val="00922D2A"/>
    <w:rsid w:val="00922F6B"/>
    <w:rsid w:val="0092379E"/>
    <w:rsid w:val="009252F5"/>
    <w:rsid w:val="00925AEF"/>
    <w:rsid w:val="009262AD"/>
    <w:rsid w:val="009301C2"/>
    <w:rsid w:val="00930773"/>
    <w:rsid w:val="00932353"/>
    <w:rsid w:val="009324A7"/>
    <w:rsid w:val="00932E55"/>
    <w:rsid w:val="009330EB"/>
    <w:rsid w:val="00933C8A"/>
    <w:rsid w:val="0093415F"/>
    <w:rsid w:val="00934465"/>
    <w:rsid w:val="009345CB"/>
    <w:rsid w:val="00934F10"/>
    <w:rsid w:val="00935A37"/>
    <w:rsid w:val="00936EE8"/>
    <w:rsid w:val="0093725A"/>
    <w:rsid w:val="00937511"/>
    <w:rsid w:val="00937BC1"/>
    <w:rsid w:val="0094087D"/>
    <w:rsid w:val="00942187"/>
    <w:rsid w:val="00942A98"/>
    <w:rsid w:val="00942EB5"/>
    <w:rsid w:val="00944948"/>
    <w:rsid w:val="00946C2B"/>
    <w:rsid w:val="00946F3A"/>
    <w:rsid w:val="009504F5"/>
    <w:rsid w:val="0095263F"/>
    <w:rsid w:val="009530C9"/>
    <w:rsid w:val="00953683"/>
    <w:rsid w:val="009542D7"/>
    <w:rsid w:val="009551B6"/>
    <w:rsid w:val="00955557"/>
    <w:rsid w:val="009555B3"/>
    <w:rsid w:val="0095595A"/>
    <w:rsid w:val="00957116"/>
    <w:rsid w:val="0096236A"/>
    <w:rsid w:val="00962C8C"/>
    <w:rsid w:val="009631BC"/>
    <w:rsid w:val="00964C5A"/>
    <w:rsid w:val="00965A73"/>
    <w:rsid w:val="00965DDD"/>
    <w:rsid w:val="00966B88"/>
    <w:rsid w:val="009674AE"/>
    <w:rsid w:val="009706BC"/>
    <w:rsid w:val="00971208"/>
    <w:rsid w:val="00973050"/>
    <w:rsid w:val="00973988"/>
    <w:rsid w:val="009741B6"/>
    <w:rsid w:val="009743C8"/>
    <w:rsid w:val="009747E1"/>
    <w:rsid w:val="009747F3"/>
    <w:rsid w:val="0097587C"/>
    <w:rsid w:val="0097595E"/>
    <w:rsid w:val="009762CF"/>
    <w:rsid w:val="00976518"/>
    <w:rsid w:val="00976ADB"/>
    <w:rsid w:val="0098216B"/>
    <w:rsid w:val="0098371F"/>
    <w:rsid w:val="009839DE"/>
    <w:rsid w:val="00984E3D"/>
    <w:rsid w:val="0098697F"/>
    <w:rsid w:val="00986E11"/>
    <w:rsid w:val="009871C6"/>
    <w:rsid w:val="00987C6F"/>
    <w:rsid w:val="00990409"/>
    <w:rsid w:val="00991562"/>
    <w:rsid w:val="009915E6"/>
    <w:rsid w:val="00991FA6"/>
    <w:rsid w:val="00992944"/>
    <w:rsid w:val="009935F8"/>
    <w:rsid w:val="00993D06"/>
    <w:rsid w:val="00994B01"/>
    <w:rsid w:val="00995839"/>
    <w:rsid w:val="0099594C"/>
    <w:rsid w:val="0099680E"/>
    <w:rsid w:val="00997EF7"/>
    <w:rsid w:val="009A2230"/>
    <w:rsid w:val="009A327A"/>
    <w:rsid w:val="009A34BE"/>
    <w:rsid w:val="009A34E1"/>
    <w:rsid w:val="009A621A"/>
    <w:rsid w:val="009A689F"/>
    <w:rsid w:val="009B0515"/>
    <w:rsid w:val="009B120E"/>
    <w:rsid w:val="009B14D9"/>
    <w:rsid w:val="009B1D5D"/>
    <w:rsid w:val="009B1EF8"/>
    <w:rsid w:val="009B2BE0"/>
    <w:rsid w:val="009B33A0"/>
    <w:rsid w:val="009B3632"/>
    <w:rsid w:val="009B3F34"/>
    <w:rsid w:val="009B5D13"/>
    <w:rsid w:val="009C02DF"/>
    <w:rsid w:val="009C125A"/>
    <w:rsid w:val="009C1F71"/>
    <w:rsid w:val="009C2185"/>
    <w:rsid w:val="009C385D"/>
    <w:rsid w:val="009C3E44"/>
    <w:rsid w:val="009C3F5C"/>
    <w:rsid w:val="009C44A0"/>
    <w:rsid w:val="009C6EA5"/>
    <w:rsid w:val="009C7F01"/>
    <w:rsid w:val="009D1F33"/>
    <w:rsid w:val="009D2EB7"/>
    <w:rsid w:val="009D5413"/>
    <w:rsid w:val="009D56C7"/>
    <w:rsid w:val="009D5E20"/>
    <w:rsid w:val="009D69FC"/>
    <w:rsid w:val="009D6A55"/>
    <w:rsid w:val="009E01F5"/>
    <w:rsid w:val="009E10EE"/>
    <w:rsid w:val="009E14FA"/>
    <w:rsid w:val="009E16B6"/>
    <w:rsid w:val="009E2C0B"/>
    <w:rsid w:val="009E3B63"/>
    <w:rsid w:val="009E4051"/>
    <w:rsid w:val="009E45B1"/>
    <w:rsid w:val="009E4E99"/>
    <w:rsid w:val="009E623B"/>
    <w:rsid w:val="009E6B3F"/>
    <w:rsid w:val="009E7467"/>
    <w:rsid w:val="009E776C"/>
    <w:rsid w:val="009F120D"/>
    <w:rsid w:val="009F1405"/>
    <w:rsid w:val="009F1583"/>
    <w:rsid w:val="009F3375"/>
    <w:rsid w:val="009F3796"/>
    <w:rsid w:val="009F4132"/>
    <w:rsid w:val="009F4AFF"/>
    <w:rsid w:val="009F5B38"/>
    <w:rsid w:val="009F6BCB"/>
    <w:rsid w:val="009F72C8"/>
    <w:rsid w:val="009F738C"/>
    <w:rsid w:val="009F7491"/>
    <w:rsid w:val="00A0004D"/>
    <w:rsid w:val="00A0126B"/>
    <w:rsid w:val="00A01742"/>
    <w:rsid w:val="00A01890"/>
    <w:rsid w:val="00A02B3C"/>
    <w:rsid w:val="00A02B91"/>
    <w:rsid w:val="00A031AF"/>
    <w:rsid w:val="00A0351F"/>
    <w:rsid w:val="00A040DA"/>
    <w:rsid w:val="00A0445B"/>
    <w:rsid w:val="00A04FC2"/>
    <w:rsid w:val="00A06A9F"/>
    <w:rsid w:val="00A06ACD"/>
    <w:rsid w:val="00A076AF"/>
    <w:rsid w:val="00A1035A"/>
    <w:rsid w:val="00A13EC0"/>
    <w:rsid w:val="00A150E5"/>
    <w:rsid w:val="00A15CA8"/>
    <w:rsid w:val="00A15E6B"/>
    <w:rsid w:val="00A1724B"/>
    <w:rsid w:val="00A1734C"/>
    <w:rsid w:val="00A20BD8"/>
    <w:rsid w:val="00A21848"/>
    <w:rsid w:val="00A23A12"/>
    <w:rsid w:val="00A25446"/>
    <w:rsid w:val="00A2602D"/>
    <w:rsid w:val="00A302F5"/>
    <w:rsid w:val="00A326EB"/>
    <w:rsid w:val="00A33417"/>
    <w:rsid w:val="00A3461E"/>
    <w:rsid w:val="00A34BCC"/>
    <w:rsid w:val="00A357FD"/>
    <w:rsid w:val="00A357FF"/>
    <w:rsid w:val="00A359EF"/>
    <w:rsid w:val="00A35A68"/>
    <w:rsid w:val="00A41AC3"/>
    <w:rsid w:val="00A42066"/>
    <w:rsid w:val="00A42830"/>
    <w:rsid w:val="00A42D4C"/>
    <w:rsid w:val="00A42F69"/>
    <w:rsid w:val="00A446CB"/>
    <w:rsid w:val="00A45253"/>
    <w:rsid w:val="00A50491"/>
    <w:rsid w:val="00A526AF"/>
    <w:rsid w:val="00A54A3C"/>
    <w:rsid w:val="00A57F5A"/>
    <w:rsid w:val="00A6007D"/>
    <w:rsid w:val="00A60CBB"/>
    <w:rsid w:val="00A61CA9"/>
    <w:rsid w:val="00A61F16"/>
    <w:rsid w:val="00A62EA0"/>
    <w:rsid w:val="00A647BE"/>
    <w:rsid w:val="00A65617"/>
    <w:rsid w:val="00A70616"/>
    <w:rsid w:val="00A70EB7"/>
    <w:rsid w:val="00A70FF8"/>
    <w:rsid w:val="00A71A97"/>
    <w:rsid w:val="00A71F08"/>
    <w:rsid w:val="00A7366E"/>
    <w:rsid w:val="00A73D2E"/>
    <w:rsid w:val="00A73E07"/>
    <w:rsid w:val="00A747CD"/>
    <w:rsid w:val="00A757D9"/>
    <w:rsid w:val="00A75D89"/>
    <w:rsid w:val="00A75FAD"/>
    <w:rsid w:val="00A769AC"/>
    <w:rsid w:val="00A80A76"/>
    <w:rsid w:val="00A81E0A"/>
    <w:rsid w:val="00A8280C"/>
    <w:rsid w:val="00A8294B"/>
    <w:rsid w:val="00A82A71"/>
    <w:rsid w:val="00A84012"/>
    <w:rsid w:val="00A84713"/>
    <w:rsid w:val="00A859B2"/>
    <w:rsid w:val="00A85E8E"/>
    <w:rsid w:val="00A8675C"/>
    <w:rsid w:val="00A90FEA"/>
    <w:rsid w:val="00A912C5"/>
    <w:rsid w:val="00A9183D"/>
    <w:rsid w:val="00A92CB9"/>
    <w:rsid w:val="00A92D3C"/>
    <w:rsid w:val="00A9461B"/>
    <w:rsid w:val="00A946FD"/>
    <w:rsid w:val="00A9603F"/>
    <w:rsid w:val="00A963B8"/>
    <w:rsid w:val="00A96681"/>
    <w:rsid w:val="00AA01E3"/>
    <w:rsid w:val="00AA14D9"/>
    <w:rsid w:val="00AA1A7F"/>
    <w:rsid w:val="00AA1A94"/>
    <w:rsid w:val="00AA226C"/>
    <w:rsid w:val="00AA2BB1"/>
    <w:rsid w:val="00AA3130"/>
    <w:rsid w:val="00AA3160"/>
    <w:rsid w:val="00AA4BBF"/>
    <w:rsid w:val="00AA5125"/>
    <w:rsid w:val="00AA52F2"/>
    <w:rsid w:val="00AA5FF4"/>
    <w:rsid w:val="00AB0D22"/>
    <w:rsid w:val="00AB212C"/>
    <w:rsid w:val="00AB22E9"/>
    <w:rsid w:val="00AB2375"/>
    <w:rsid w:val="00AB2C4D"/>
    <w:rsid w:val="00AB3BFC"/>
    <w:rsid w:val="00AB3F34"/>
    <w:rsid w:val="00AB48B2"/>
    <w:rsid w:val="00AB7071"/>
    <w:rsid w:val="00AB70B9"/>
    <w:rsid w:val="00AC0893"/>
    <w:rsid w:val="00AC140F"/>
    <w:rsid w:val="00AC14D8"/>
    <w:rsid w:val="00AC2A3D"/>
    <w:rsid w:val="00AC3387"/>
    <w:rsid w:val="00AC3D84"/>
    <w:rsid w:val="00AC3DFC"/>
    <w:rsid w:val="00AC42A1"/>
    <w:rsid w:val="00AC4665"/>
    <w:rsid w:val="00AC4BB3"/>
    <w:rsid w:val="00AC5485"/>
    <w:rsid w:val="00AC5BF6"/>
    <w:rsid w:val="00AC5DF2"/>
    <w:rsid w:val="00AC610B"/>
    <w:rsid w:val="00AC6F34"/>
    <w:rsid w:val="00AC7F7A"/>
    <w:rsid w:val="00AD0482"/>
    <w:rsid w:val="00AD063E"/>
    <w:rsid w:val="00AD17C6"/>
    <w:rsid w:val="00AD3184"/>
    <w:rsid w:val="00AD34C6"/>
    <w:rsid w:val="00AD7DA5"/>
    <w:rsid w:val="00AE1DF0"/>
    <w:rsid w:val="00AE1FA4"/>
    <w:rsid w:val="00AE20F3"/>
    <w:rsid w:val="00AE2FBC"/>
    <w:rsid w:val="00AE35AB"/>
    <w:rsid w:val="00AE3960"/>
    <w:rsid w:val="00AE441D"/>
    <w:rsid w:val="00AE5648"/>
    <w:rsid w:val="00AE582D"/>
    <w:rsid w:val="00AE6531"/>
    <w:rsid w:val="00AE6A3E"/>
    <w:rsid w:val="00AE7B6A"/>
    <w:rsid w:val="00AF06D4"/>
    <w:rsid w:val="00AF1B31"/>
    <w:rsid w:val="00AF1D9E"/>
    <w:rsid w:val="00AF2A28"/>
    <w:rsid w:val="00AF3685"/>
    <w:rsid w:val="00AF4101"/>
    <w:rsid w:val="00AF4C1D"/>
    <w:rsid w:val="00AF5439"/>
    <w:rsid w:val="00AF6DA3"/>
    <w:rsid w:val="00AF6FA6"/>
    <w:rsid w:val="00AF7EE0"/>
    <w:rsid w:val="00B009FF"/>
    <w:rsid w:val="00B018BF"/>
    <w:rsid w:val="00B03A21"/>
    <w:rsid w:val="00B061B1"/>
    <w:rsid w:val="00B079DF"/>
    <w:rsid w:val="00B1003F"/>
    <w:rsid w:val="00B11C45"/>
    <w:rsid w:val="00B1500E"/>
    <w:rsid w:val="00B1510E"/>
    <w:rsid w:val="00B1738D"/>
    <w:rsid w:val="00B209EF"/>
    <w:rsid w:val="00B20FB1"/>
    <w:rsid w:val="00B21A95"/>
    <w:rsid w:val="00B21ABA"/>
    <w:rsid w:val="00B223C1"/>
    <w:rsid w:val="00B22D76"/>
    <w:rsid w:val="00B24A54"/>
    <w:rsid w:val="00B24E6D"/>
    <w:rsid w:val="00B273C4"/>
    <w:rsid w:val="00B27B7A"/>
    <w:rsid w:val="00B315F8"/>
    <w:rsid w:val="00B322FE"/>
    <w:rsid w:val="00B32600"/>
    <w:rsid w:val="00B33FD4"/>
    <w:rsid w:val="00B34A4C"/>
    <w:rsid w:val="00B34B4F"/>
    <w:rsid w:val="00B365C9"/>
    <w:rsid w:val="00B36748"/>
    <w:rsid w:val="00B40A3A"/>
    <w:rsid w:val="00B41F4B"/>
    <w:rsid w:val="00B448DF"/>
    <w:rsid w:val="00B44CD1"/>
    <w:rsid w:val="00B44FCD"/>
    <w:rsid w:val="00B4519F"/>
    <w:rsid w:val="00B45362"/>
    <w:rsid w:val="00B45530"/>
    <w:rsid w:val="00B45961"/>
    <w:rsid w:val="00B50499"/>
    <w:rsid w:val="00B50684"/>
    <w:rsid w:val="00B513E5"/>
    <w:rsid w:val="00B515C3"/>
    <w:rsid w:val="00B51984"/>
    <w:rsid w:val="00B5253A"/>
    <w:rsid w:val="00B52960"/>
    <w:rsid w:val="00B533BE"/>
    <w:rsid w:val="00B533EF"/>
    <w:rsid w:val="00B538CC"/>
    <w:rsid w:val="00B55794"/>
    <w:rsid w:val="00B55832"/>
    <w:rsid w:val="00B55ABF"/>
    <w:rsid w:val="00B571E7"/>
    <w:rsid w:val="00B6030B"/>
    <w:rsid w:val="00B6061A"/>
    <w:rsid w:val="00B624D4"/>
    <w:rsid w:val="00B63407"/>
    <w:rsid w:val="00B65163"/>
    <w:rsid w:val="00B6536D"/>
    <w:rsid w:val="00B671CA"/>
    <w:rsid w:val="00B72963"/>
    <w:rsid w:val="00B72C2B"/>
    <w:rsid w:val="00B754AD"/>
    <w:rsid w:val="00B75F55"/>
    <w:rsid w:val="00B7673C"/>
    <w:rsid w:val="00B76F13"/>
    <w:rsid w:val="00B77037"/>
    <w:rsid w:val="00B772A0"/>
    <w:rsid w:val="00B7732D"/>
    <w:rsid w:val="00B773F2"/>
    <w:rsid w:val="00B774FE"/>
    <w:rsid w:val="00B8375F"/>
    <w:rsid w:val="00B851D3"/>
    <w:rsid w:val="00B86FD6"/>
    <w:rsid w:val="00B87C21"/>
    <w:rsid w:val="00B904FF"/>
    <w:rsid w:val="00B90B5E"/>
    <w:rsid w:val="00B91782"/>
    <w:rsid w:val="00B918F7"/>
    <w:rsid w:val="00B918FA"/>
    <w:rsid w:val="00B9423C"/>
    <w:rsid w:val="00B953A7"/>
    <w:rsid w:val="00B95E7E"/>
    <w:rsid w:val="00B96498"/>
    <w:rsid w:val="00B96D17"/>
    <w:rsid w:val="00B96E82"/>
    <w:rsid w:val="00B974C3"/>
    <w:rsid w:val="00BA1129"/>
    <w:rsid w:val="00BA1D5F"/>
    <w:rsid w:val="00BA392E"/>
    <w:rsid w:val="00BA3F1C"/>
    <w:rsid w:val="00BA503A"/>
    <w:rsid w:val="00BA5BFF"/>
    <w:rsid w:val="00BA5EA2"/>
    <w:rsid w:val="00BA5FE8"/>
    <w:rsid w:val="00BA7951"/>
    <w:rsid w:val="00BA7E75"/>
    <w:rsid w:val="00BB0F51"/>
    <w:rsid w:val="00BB13F6"/>
    <w:rsid w:val="00BB162E"/>
    <w:rsid w:val="00BB25C4"/>
    <w:rsid w:val="00BB261D"/>
    <w:rsid w:val="00BB348B"/>
    <w:rsid w:val="00BB4C62"/>
    <w:rsid w:val="00BB5EB2"/>
    <w:rsid w:val="00BC11D1"/>
    <w:rsid w:val="00BC25D7"/>
    <w:rsid w:val="00BC2BB8"/>
    <w:rsid w:val="00BC3674"/>
    <w:rsid w:val="00BC3AE9"/>
    <w:rsid w:val="00BC4085"/>
    <w:rsid w:val="00BC5205"/>
    <w:rsid w:val="00BC57B7"/>
    <w:rsid w:val="00BC5803"/>
    <w:rsid w:val="00BC5C18"/>
    <w:rsid w:val="00BD0352"/>
    <w:rsid w:val="00BD0800"/>
    <w:rsid w:val="00BD0885"/>
    <w:rsid w:val="00BD4E52"/>
    <w:rsid w:val="00BD568A"/>
    <w:rsid w:val="00BD5AA0"/>
    <w:rsid w:val="00BD74F3"/>
    <w:rsid w:val="00BD7DD5"/>
    <w:rsid w:val="00BE010B"/>
    <w:rsid w:val="00BE1130"/>
    <w:rsid w:val="00BE2247"/>
    <w:rsid w:val="00BE2449"/>
    <w:rsid w:val="00BE3F8F"/>
    <w:rsid w:val="00BE410B"/>
    <w:rsid w:val="00BE5607"/>
    <w:rsid w:val="00BE56BE"/>
    <w:rsid w:val="00BE5999"/>
    <w:rsid w:val="00BE7409"/>
    <w:rsid w:val="00BE7B50"/>
    <w:rsid w:val="00BF037C"/>
    <w:rsid w:val="00BF1F73"/>
    <w:rsid w:val="00BF30E8"/>
    <w:rsid w:val="00BF478A"/>
    <w:rsid w:val="00BF53A8"/>
    <w:rsid w:val="00BF6FF7"/>
    <w:rsid w:val="00C0056F"/>
    <w:rsid w:val="00C0097D"/>
    <w:rsid w:val="00C02030"/>
    <w:rsid w:val="00C020D3"/>
    <w:rsid w:val="00C02345"/>
    <w:rsid w:val="00C02472"/>
    <w:rsid w:val="00C03B2C"/>
    <w:rsid w:val="00C05787"/>
    <w:rsid w:val="00C07564"/>
    <w:rsid w:val="00C07C36"/>
    <w:rsid w:val="00C1000C"/>
    <w:rsid w:val="00C112D6"/>
    <w:rsid w:val="00C11DE8"/>
    <w:rsid w:val="00C1405B"/>
    <w:rsid w:val="00C142EF"/>
    <w:rsid w:val="00C15DDA"/>
    <w:rsid w:val="00C17E10"/>
    <w:rsid w:val="00C20F15"/>
    <w:rsid w:val="00C22A71"/>
    <w:rsid w:val="00C23020"/>
    <w:rsid w:val="00C23237"/>
    <w:rsid w:val="00C23433"/>
    <w:rsid w:val="00C23702"/>
    <w:rsid w:val="00C24BD8"/>
    <w:rsid w:val="00C24E57"/>
    <w:rsid w:val="00C25460"/>
    <w:rsid w:val="00C25C72"/>
    <w:rsid w:val="00C264D1"/>
    <w:rsid w:val="00C268D4"/>
    <w:rsid w:val="00C27986"/>
    <w:rsid w:val="00C30EF1"/>
    <w:rsid w:val="00C3330B"/>
    <w:rsid w:val="00C333CF"/>
    <w:rsid w:val="00C355C3"/>
    <w:rsid w:val="00C35FAC"/>
    <w:rsid w:val="00C36530"/>
    <w:rsid w:val="00C36925"/>
    <w:rsid w:val="00C41E28"/>
    <w:rsid w:val="00C42E98"/>
    <w:rsid w:val="00C44096"/>
    <w:rsid w:val="00C453D7"/>
    <w:rsid w:val="00C45576"/>
    <w:rsid w:val="00C45A3B"/>
    <w:rsid w:val="00C45DBD"/>
    <w:rsid w:val="00C460A8"/>
    <w:rsid w:val="00C46414"/>
    <w:rsid w:val="00C46576"/>
    <w:rsid w:val="00C4681F"/>
    <w:rsid w:val="00C476D1"/>
    <w:rsid w:val="00C47BF8"/>
    <w:rsid w:val="00C47D66"/>
    <w:rsid w:val="00C47F50"/>
    <w:rsid w:val="00C53AFE"/>
    <w:rsid w:val="00C53B06"/>
    <w:rsid w:val="00C54858"/>
    <w:rsid w:val="00C54FA0"/>
    <w:rsid w:val="00C55974"/>
    <w:rsid w:val="00C573A8"/>
    <w:rsid w:val="00C57914"/>
    <w:rsid w:val="00C618E3"/>
    <w:rsid w:val="00C61D02"/>
    <w:rsid w:val="00C63D87"/>
    <w:rsid w:val="00C63DCB"/>
    <w:rsid w:val="00C63F4B"/>
    <w:rsid w:val="00C64B4D"/>
    <w:rsid w:val="00C64F83"/>
    <w:rsid w:val="00C66BF5"/>
    <w:rsid w:val="00C70246"/>
    <w:rsid w:val="00C707F9"/>
    <w:rsid w:val="00C7437A"/>
    <w:rsid w:val="00C7504E"/>
    <w:rsid w:val="00C758FC"/>
    <w:rsid w:val="00C7654A"/>
    <w:rsid w:val="00C8006D"/>
    <w:rsid w:val="00C8009C"/>
    <w:rsid w:val="00C80238"/>
    <w:rsid w:val="00C805B1"/>
    <w:rsid w:val="00C8157E"/>
    <w:rsid w:val="00C81B1B"/>
    <w:rsid w:val="00C8221A"/>
    <w:rsid w:val="00C82B57"/>
    <w:rsid w:val="00C83BB9"/>
    <w:rsid w:val="00C84175"/>
    <w:rsid w:val="00C84B8A"/>
    <w:rsid w:val="00C84DD1"/>
    <w:rsid w:val="00C85F27"/>
    <w:rsid w:val="00C87D2B"/>
    <w:rsid w:val="00C90A5C"/>
    <w:rsid w:val="00C90CC1"/>
    <w:rsid w:val="00C90DA6"/>
    <w:rsid w:val="00C92372"/>
    <w:rsid w:val="00C929A1"/>
    <w:rsid w:val="00C92B33"/>
    <w:rsid w:val="00C94536"/>
    <w:rsid w:val="00C948E2"/>
    <w:rsid w:val="00C956B9"/>
    <w:rsid w:val="00C9669E"/>
    <w:rsid w:val="00C96B1D"/>
    <w:rsid w:val="00C96B27"/>
    <w:rsid w:val="00C96B93"/>
    <w:rsid w:val="00C97600"/>
    <w:rsid w:val="00CA1244"/>
    <w:rsid w:val="00CA1274"/>
    <w:rsid w:val="00CA7768"/>
    <w:rsid w:val="00CB2BA2"/>
    <w:rsid w:val="00CB473C"/>
    <w:rsid w:val="00CB518E"/>
    <w:rsid w:val="00CB567C"/>
    <w:rsid w:val="00CB6025"/>
    <w:rsid w:val="00CB68E9"/>
    <w:rsid w:val="00CB6CCC"/>
    <w:rsid w:val="00CB77A5"/>
    <w:rsid w:val="00CB7DB6"/>
    <w:rsid w:val="00CC24D3"/>
    <w:rsid w:val="00CC2534"/>
    <w:rsid w:val="00CC272F"/>
    <w:rsid w:val="00CC2A8A"/>
    <w:rsid w:val="00CC3DA9"/>
    <w:rsid w:val="00CC3DBB"/>
    <w:rsid w:val="00CC52F2"/>
    <w:rsid w:val="00CC61D0"/>
    <w:rsid w:val="00CC646F"/>
    <w:rsid w:val="00CC6F22"/>
    <w:rsid w:val="00CC7A30"/>
    <w:rsid w:val="00CD0D45"/>
    <w:rsid w:val="00CD1B96"/>
    <w:rsid w:val="00CD229D"/>
    <w:rsid w:val="00CD387D"/>
    <w:rsid w:val="00CD5100"/>
    <w:rsid w:val="00CD516D"/>
    <w:rsid w:val="00CD5261"/>
    <w:rsid w:val="00CD6D7F"/>
    <w:rsid w:val="00CD7378"/>
    <w:rsid w:val="00CD75A4"/>
    <w:rsid w:val="00CE0CE8"/>
    <w:rsid w:val="00CE275A"/>
    <w:rsid w:val="00CE3303"/>
    <w:rsid w:val="00CE3A44"/>
    <w:rsid w:val="00CE5D7D"/>
    <w:rsid w:val="00CE612A"/>
    <w:rsid w:val="00CE6E39"/>
    <w:rsid w:val="00CE7FF3"/>
    <w:rsid w:val="00CF01E2"/>
    <w:rsid w:val="00CF0C2A"/>
    <w:rsid w:val="00CF0ECD"/>
    <w:rsid w:val="00CF1941"/>
    <w:rsid w:val="00CF21E9"/>
    <w:rsid w:val="00CF26AE"/>
    <w:rsid w:val="00CF2F20"/>
    <w:rsid w:val="00CF3699"/>
    <w:rsid w:val="00CF3A0B"/>
    <w:rsid w:val="00CF3A70"/>
    <w:rsid w:val="00CF4125"/>
    <w:rsid w:val="00CF4153"/>
    <w:rsid w:val="00CF4FBE"/>
    <w:rsid w:val="00CF5620"/>
    <w:rsid w:val="00CF69F5"/>
    <w:rsid w:val="00CF7C7D"/>
    <w:rsid w:val="00CF7D09"/>
    <w:rsid w:val="00D00667"/>
    <w:rsid w:val="00D00BC3"/>
    <w:rsid w:val="00D028F4"/>
    <w:rsid w:val="00D02CF4"/>
    <w:rsid w:val="00D0308E"/>
    <w:rsid w:val="00D030DE"/>
    <w:rsid w:val="00D03815"/>
    <w:rsid w:val="00D04757"/>
    <w:rsid w:val="00D05381"/>
    <w:rsid w:val="00D053D8"/>
    <w:rsid w:val="00D0592B"/>
    <w:rsid w:val="00D06028"/>
    <w:rsid w:val="00D10AEE"/>
    <w:rsid w:val="00D1229A"/>
    <w:rsid w:val="00D12970"/>
    <w:rsid w:val="00D13CF6"/>
    <w:rsid w:val="00D13D66"/>
    <w:rsid w:val="00D16354"/>
    <w:rsid w:val="00D17BF4"/>
    <w:rsid w:val="00D20C20"/>
    <w:rsid w:val="00D2126F"/>
    <w:rsid w:val="00D21893"/>
    <w:rsid w:val="00D21BC9"/>
    <w:rsid w:val="00D21D96"/>
    <w:rsid w:val="00D2306A"/>
    <w:rsid w:val="00D231AC"/>
    <w:rsid w:val="00D24019"/>
    <w:rsid w:val="00D246ED"/>
    <w:rsid w:val="00D2622E"/>
    <w:rsid w:val="00D27348"/>
    <w:rsid w:val="00D303FD"/>
    <w:rsid w:val="00D30FD4"/>
    <w:rsid w:val="00D31635"/>
    <w:rsid w:val="00D31F3A"/>
    <w:rsid w:val="00D34335"/>
    <w:rsid w:val="00D35343"/>
    <w:rsid w:val="00D362FE"/>
    <w:rsid w:val="00D36BFA"/>
    <w:rsid w:val="00D412C5"/>
    <w:rsid w:val="00D415D7"/>
    <w:rsid w:val="00D4170A"/>
    <w:rsid w:val="00D45D1B"/>
    <w:rsid w:val="00D4664B"/>
    <w:rsid w:val="00D470A5"/>
    <w:rsid w:val="00D50019"/>
    <w:rsid w:val="00D502EE"/>
    <w:rsid w:val="00D5041B"/>
    <w:rsid w:val="00D5107F"/>
    <w:rsid w:val="00D51566"/>
    <w:rsid w:val="00D52774"/>
    <w:rsid w:val="00D52954"/>
    <w:rsid w:val="00D5381F"/>
    <w:rsid w:val="00D54406"/>
    <w:rsid w:val="00D55C98"/>
    <w:rsid w:val="00D56168"/>
    <w:rsid w:val="00D567F7"/>
    <w:rsid w:val="00D57EBE"/>
    <w:rsid w:val="00D6040E"/>
    <w:rsid w:val="00D6049F"/>
    <w:rsid w:val="00D60F7D"/>
    <w:rsid w:val="00D61A48"/>
    <w:rsid w:val="00D61E39"/>
    <w:rsid w:val="00D640EA"/>
    <w:rsid w:val="00D64F21"/>
    <w:rsid w:val="00D651C1"/>
    <w:rsid w:val="00D65557"/>
    <w:rsid w:val="00D70873"/>
    <w:rsid w:val="00D71434"/>
    <w:rsid w:val="00D716B8"/>
    <w:rsid w:val="00D72D6B"/>
    <w:rsid w:val="00D73528"/>
    <w:rsid w:val="00D7437D"/>
    <w:rsid w:val="00D7484A"/>
    <w:rsid w:val="00D74F24"/>
    <w:rsid w:val="00D77DF2"/>
    <w:rsid w:val="00D8050E"/>
    <w:rsid w:val="00D80994"/>
    <w:rsid w:val="00D81A80"/>
    <w:rsid w:val="00D82307"/>
    <w:rsid w:val="00D825D2"/>
    <w:rsid w:val="00D8517B"/>
    <w:rsid w:val="00D875D4"/>
    <w:rsid w:val="00D90E97"/>
    <w:rsid w:val="00D93FFE"/>
    <w:rsid w:val="00D9407A"/>
    <w:rsid w:val="00D9463C"/>
    <w:rsid w:val="00D9466D"/>
    <w:rsid w:val="00D95251"/>
    <w:rsid w:val="00D97B47"/>
    <w:rsid w:val="00DA1750"/>
    <w:rsid w:val="00DA33D7"/>
    <w:rsid w:val="00DA57C5"/>
    <w:rsid w:val="00DB357F"/>
    <w:rsid w:val="00DB3EB8"/>
    <w:rsid w:val="00DB4325"/>
    <w:rsid w:val="00DB6012"/>
    <w:rsid w:val="00DB6849"/>
    <w:rsid w:val="00DB6B7B"/>
    <w:rsid w:val="00DC0A69"/>
    <w:rsid w:val="00DC0D02"/>
    <w:rsid w:val="00DC150D"/>
    <w:rsid w:val="00DC40AE"/>
    <w:rsid w:val="00DC44A7"/>
    <w:rsid w:val="00DC4664"/>
    <w:rsid w:val="00DC5E18"/>
    <w:rsid w:val="00DC6DD3"/>
    <w:rsid w:val="00DC7A90"/>
    <w:rsid w:val="00DD0332"/>
    <w:rsid w:val="00DD07EE"/>
    <w:rsid w:val="00DD2135"/>
    <w:rsid w:val="00DD215A"/>
    <w:rsid w:val="00DD4122"/>
    <w:rsid w:val="00DD5718"/>
    <w:rsid w:val="00DD5DEE"/>
    <w:rsid w:val="00DD683D"/>
    <w:rsid w:val="00DE0C53"/>
    <w:rsid w:val="00DE1E89"/>
    <w:rsid w:val="00DE35E3"/>
    <w:rsid w:val="00DE494F"/>
    <w:rsid w:val="00DE525A"/>
    <w:rsid w:val="00DF06CA"/>
    <w:rsid w:val="00DF0D28"/>
    <w:rsid w:val="00DF2147"/>
    <w:rsid w:val="00DF243B"/>
    <w:rsid w:val="00DF3270"/>
    <w:rsid w:val="00DF3D01"/>
    <w:rsid w:val="00DF5AA0"/>
    <w:rsid w:val="00DF5B1C"/>
    <w:rsid w:val="00DF63BC"/>
    <w:rsid w:val="00DF7986"/>
    <w:rsid w:val="00E00879"/>
    <w:rsid w:val="00E02871"/>
    <w:rsid w:val="00E036AA"/>
    <w:rsid w:val="00E0628C"/>
    <w:rsid w:val="00E06B8C"/>
    <w:rsid w:val="00E06DC5"/>
    <w:rsid w:val="00E07A3B"/>
    <w:rsid w:val="00E1007F"/>
    <w:rsid w:val="00E107D1"/>
    <w:rsid w:val="00E12991"/>
    <w:rsid w:val="00E12BCF"/>
    <w:rsid w:val="00E1303E"/>
    <w:rsid w:val="00E136A0"/>
    <w:rsid w:val="00E1386D"/>
    <w:rsid w:val="00E13F2F"/>
    <w:rsid w:val="00E1404C"/>
    <w:rsid w:val="00E1461F"/>
    <w:rsid w:val="00E14859"/>
    <w:rsid w:val="00E17761"/>
    <w:rsid w:val="00E20930"/>
    <w:rsid w:val="00E22300"/>
    <w:rsid w:val="00E22F00"/>
    <w:rsid w:val="00E23ECD"/>
    <w:rsid w:val="00E25B5C"/>
    <w:rsid w:val="00E26A8B"/>
    <w:rsid w:val="00E31656"/>
    <w:rsid w:val="00E3176B"/>
    <w:rsid w:val="00E31978"/>
    <w:rsid w:val="00E31CC9"/>
    <w:rsid w:val="00E32174"/>
    <w:rsid w:val="00E324D3"/>
    <w:rsid w:val="00E32A63"/>
    <w:rsid w:val="00E333A3"/>
    <w:rsid w:val="00E33B06"/>
    <w:rsid w:val="00E340CC"/>
    <w:rsid w:val="00E34EE5"/>
    <w:rsid w:val="00E352CB"/>
    <w:rsid w:val="00E35E9F"/>
    <w:rsid w:val="00E37CE5"/>
    <w:rsid w:val="00E42847"/>
    <w:rsid w:val="00E4466F"/>
    <w:rsid w:val="00E4648B"/>
    <w:rsid w:val="00E46946"/>
    <w:rsid w:val="00E4749C"/>
    <w:rsid w:val="00E47CB0"/>
    <w:rsid w:val="00E506D1"/>
    <w:rsid w:val="00E510C6"/>
    <w:rsid w:val="00E51FD4"/>
    <w:rsid w:val="00E52245"/>
    <w:rsid w:val="00E52D4A"/>
    <w:rsid w:val="00E538DE"/>
    <w:rsid w:val="00E53993"/>
    <w:rsid w:val="00E5444F"/>
    <w:rsid w:val="00E55E4D"/>
    <w:rsid w:val="00E56742"/>
    <w:rsid w:val="00E600DD"/>
    <w:rsid w:val="00E60889"/>
    <w:rsid w:val="00E62282"/>
    <w:rsid w:val="00E628C4"/>
    <w:rsid w:val="00E62AAB"/>
    <w:rsid w:val="00E62BFE"/>
    <w:rsid w:val="00E63B31"/>
    <w:rsid w:val="00E65631"/>
    <w:rsid w:val="00E657E2"/>
    <w:rsid w:val="00E65EA7"/>
    <w:rsid w:val="00E713D8"/>
    <w:rsid w:val="00E725B8"/>
    <w:rsid w:val="00E7387C"/>
    <w:rsid w:val="00E75880"/>
    <w:rsid w:val="00E75B10"/>
    <w:rsid w:val="00E75C17"/>
    <w:rsid w:val="00E803F7"/>
    <w:rsid w:val="00E81110"/>
    <w:rsid w:val="00E81CC1"/>
    <w:rsid w:val="00E8338C"/>
    <w:rsid w:val="00E8362B"/>
    <w:rsid w:val="00E84E5A"/>
    <w:rsid w:val="00E84E67"/>
    <w:rsid w:val="00E87E9E"/>
    <w:rsid w:val="00E90D93"/>
    <w:rsid w:val="00E92B6A"/>
    <w:rsid w:val="00E92FD9"/>
    <w:rsid w:val="00E936EE"/>
    <w:rsid w:val="00E948E8"/>
    <w:rsid w:val="00E949B5"/>
    <w:rsid w:val="00E95E82"/>
    <w:rsid w:val="00E96DA4"/>
    <w:rsid w:val="00E9710D"/>
    <w:rsid w:val="00E97EC1"/>
    <w:rsid w:val="00EA0649"/>
    <w:rsid w:val="00EA3065"/>
    <w:rsid w:val="00EA73C8"/>
    <w:rsid w:val="00EA7BCD"/>
    <w:rsid w:val="00EA7CD5"/>
    <w:rsid w:val="00EB126A"/>
    <w:rsid w:val="00EB21D2"/>
    <w:rsid w:val="00EB3C09"/>
    <w:rsid w:val="00EB3E81"/>
    <w:rsid w:val="00EB64C3"/>
    <w:rsid w:val="00EB6A31"/>
    <w:rsid w:val="00EB7118"/>
    <w:rsid w:val="00EB7394"/>
    <w:rsid w:val="00EB75FC"/>
    <w:rsid w:val="00EC05E9"/>
    <w:rsid w:val="00EC1EB0"/>
    <w:rsid w:val="00EC515F"/>
    <w:rsid w:val="00EC6884"/>
    <w:rsid w:val="00EC776E"/>
    <w:rsid w:val="00ED277D"/>
    <w:rsid w:val="00ED2F96"/>
    <w:rsid w:val="00ED417E"/>
    <w:rsid w:val="00ED5D10"/>
    <w:rsid w:val="00ED69A8"/>
    <w:rsid w:val="00EE16C6"/>
    <w:rsid w:val="00EE1D55"/>
    <w:rsid w:val="00EE3300"/>
    <w:rsid w:val="00EE399F"/>
    <w:rsid w:val="00EE3ACE"/>
    <w:rsid w:val="00EE403C"/>
    <w:rsid w:val="00EE5F35"/>
    <w:rsid w:val="00EE61E7"/>
    <w:rsid w:val="00EE6677"/>
    <w:rsid w:val="00EF0144"/>
    <w:rsid w:val="00EF09F5"/>
    <w:rsid w:val="00EF0EBB"/>
    <w:rsid w:val="00EF14B3"/>
    <w:rsid w:val="00EF180F"/>
    <w:rsid w:val="00EF3C6D"/>
    <w:rsid w:val="00EF420B"/>
    <w:rsid w:val="00EF5678"/>
    <w:rsid w:val="00EF5E98"/>
    <w:rsid w:val="00EF65C5"/>
    <w:rsid w:val="00EF6F79"/>
    <w:rsid w:val="00F000B4"/>
    <w:rsid w:val="00F00279"/>
    <w:rsid w:val="00F01963"/>
    <w:rsid w:val="00F02744"/>
    <w:rsid w:val="00F02972"/>
    <w:rsid w:val="00F03B94"/>
    <w:rsid w:val="00F03BFB"/>
    <w:rsid w:val="00F0453A"/>
    <w:rsid w:val="00F046C1"/>
    <w:rsid w:val="00F04FBD"/>
    <w:rsid w:val="00F05170"/>
    <w:rsid w:val="00F0551C"/>
    <w:rsid w:val="00F10982"/>
    <w:rsid w:val="00F11EB1"/>
    <w:rsid w:val="00F11EF0"/>
    <w:rsid w:val="00F12053"/>
    <w:rsid w:val="00F13219"/>
    <w:rsid w:val="00F13DA6"/>
    <w:rsid w:val="00F14238"/>
    <w:rsid w:val="00F169F5"/>
    <w:rsid w:val="00F176AD"/>
    <w:rsid w:val="00F200F5"/>
    <w:rsid w:val="00F207B9"/>
    <w:rsid w:val="00F209A8"/>
    <w:rsid w:val="00F20A56"/>
    <w:rsid w:val="00F20C3F"/>
    <w:rsid w:val="00F214EC"/>
    <w:rsid w:val="00F21F0D"/>
    <w:rsid w:val="00F2332A"/>
    <w:rsid w:val="00F233C0"/>
    <w:rsid w:val="00F2406C"/>
    <w:rsid w:val="00F266F5"/>
    <w:rsid w:val="00F26BA8"/>
    <w:rsid w:val="00F274AA"/>
    <w:rsid w:val="00F30634"/>
    <w:rsid w:val="00F30891"/>
    <w:rsid w:val="00F31E20"/>
    <w:rsid w:val="00F32AB1"/>
    <w:rsid w:val="00F34083"/>
    <w:rsid w:val="00F34944"/>
    <w:rsid w:val="00F35EC6"/>
    <w:rsid w:val="00F36465"/>
    <w:rsid w:val="00F366C5"/>
    <w:rsid w:val="00F37D32"/>
    <w:rsid w:val="00F37DCD"/>
    <w:rsid w:val="00F4091B"/>
    <w:rsid w:val="00F40DB4"/>
    <w:rsid w:val="00F424B9"/>
    <w:rsid w:val="00F432E0"/>
    <w:rsid w:val="00F4331E"/>
    <w:rsid w:val="00F433CA"/>
    <w:rsid w:val="00F4422F"/>
    <w:rsid w:val="00F44BC0"/>
    <w:rsid w:val="00F451FC"/>
    <w:rsid w:val="00F46A55"/>
    <w:rsid w:val="00F46BD0"/>
    <w:rsid w:val="00F4787F"/>
    <w:rsid w:val="00F50199"/>
    <w:rsid w:val="00F504A9"/>
    <w:rsid w:val="00F504BC"/>
    <w:rsid w:val="00F50951"/>
    <w:rsid w:val="00F51062"/>
    <w:rsid w:val="00F510D0"/>
    <w:rsid w:val="00F51D2C"/>
    <w:rsid w:val="00F5218C"/>
    <w:rsid w:val="00F524AA"/>
    <w:rsid w:val="00F545B4"/>
    <w:rsid w:val="00F5593C"/>
    <w:rsid w:val="00F562AD"/>
    <w:rsid w:val="00F56C10"/>
    <w:rsid w:val="00F60F49"/>
    <w:rsid w:val="00F6145B"/>
    <w:rsid w:val="00F63F3D"/>
    <w:rsid w:val="00F64E0D"/>
    <w:rsid w:val="00F65494"/>
    <w:rsid w:val="00F662A2"/>
    <w:rsid w:val="00F66A31"/>
    <w:rsid w:val="00F66F3B"/>
    <w:rsid w:val="00F72142"/>
    <w:rsid w:val="00F7275C"/>
    <w:rsid w:val="00F72B61"/>
    <w:rsid w:val="00F749C5"/>
    <w:rsid w:val="00F7572D"/>
    <w:rsid w:val="00F761A4"/>
    <w:rsid w:val="00F77A59"/>
    <w:rsid w:val="00F80E15"/>
    <w:rsid w:val="00F80FEF"/>
    <w:rsid w:val="00F8221A"/>
    <w:rsid w:val="00F82718"/>
    <w:rsid w:val="00F858DD"/>
    <w:rsid w:val="00F86065"/>
    <w:rsid w:val="00F87A8F"/>
    <w:rsid w:val="00F900FB"/>
    <w:rsid w:val="00F917CC"/>
    <w:rsid w:val="00F94EAB"/>
    <w:rsid w:val="00F955E4"/>
    <w:rsid w:val="00F966E4"/>
    <w:rsid w:val="00F96EB2"/>
    <w:rsid w:val="00F97984"/>
    <w:rsid w:val="00F97C8F"/>
    <w:rsid w:val="00FA0C0C"/>
    <w:rsid w:val="00FA0EDD"/>
    <w:rsid w:val="00FA1520"/>
    <w:rsid w:val="00FA194A"/>
    <w:rsid w:val="00FA2238"/>
    <w:rsid w:val="00FA2409"/>
    <w:rsid w:val="00FA2A88"/>
    <w:rsid w:val="00FA3680"/>
    <w:rsid w:val="00FA45DA"/>
    <w:rsid w:val="00FA763B"/>
    <w:rsid w:val="00FB0720"/>
    <w:rsid w:val="00FB1186"/>
    <w:rsid w:val="00FB2216"/>
    <w:rsid w:val="00FB258F"/>
    <w:rsid w:val="00FB2A7C"/>
    <w:rsid w:val="00FB2ED7"/>
    <w:rsid w:val="00FB5381"/>
    <w:rsid w:val="00FB5A02"/>
    <w:rsid w:val="00FB63E7"/>
    <w:rsid w:val="00FB6EC7"/>
    <w:rsid w:val="00FC1C74"/>
    <w:rsid w:val="00FC23D6"/>
    <w:rsid w:val="00FC27E4"/>
    <w:rsid w:val="00FC2E0B"/>
    <w:rsid w:val="00FC39F7"/>
    <w:rsid w:val="00FC498C"/>
    <w:rsid w:val="00FC73E4"/>
    <w:rsid w:val="00FD1381"/>
    <w:rsid w:val="00FD1B95"/>
    <w:rsid w:val="00FD2705"/>
    <w:rsid w:val="00FD4E0E"/>
    <w:rsid w:val="00FD648F"/>
    <w:rsid w:val="00FE02FD"/>
    <w:rsid w:val="00FE0999"/>
    <w:rsid w:val="00FE127F"/>
    <w:rsid w:val="00FE1AF7"/>
    <w:rsid w:val="00FE2424"/>
    <w:rsid w:val="00FE28FA"/>
    <w:rsid w:val="00FE2F94"/>
    <w:rsid w:val="00FE48B8"/>
    <w:rsid w:val="00FE6249"/>
    <w:rsid w:val="00FE66C0"/>
    <w:rsid w:val="00FE67DF"/>
    <w:rsid w:val="00FE73EF"/>
    <w:rsid w:val="00FF0F78"/>
    <w:rsid w:val="00FF1413"/>
    <w:rsid w:val="00FF1C37"/>
    <w:rsid w:val="00FF3B9F"/>
    <w:rsid w:val="00FF3F3F"/>
    <w:rsid w:val="00FF4A47"/>
    <w:rsid w:val="00FF57A7"/>
    <w:rsid w:val="00FF72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59958"/>
  <w15:docId w15:val="{44ECBFB2-03BD-4B84-9AD6-3C8468773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E0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Accent1">
    <w:name w:val="Medium List 2 Accent 1"/>
    <w:basedOn w:val="TableNormal"/>
    <w:uiPriority w:val="66"/>
    <w:rsid w:val="003D34F3"/>
    <w:rPr>
      <w:rFonts w:ascii="Cambria" w:hAnsi="Cambria"/>
      <w:color w:val="000000"/>
      <w:lang w:val="en-US"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DecimalAligned">
    <w:name w:val="Decimal Aligned"/>
    <w:basedOn w:val="Normal"/>
    <w:uiPriority w:val="40"/>
    <w:qFormat/>
    <w:rsid w:val="003D34F3"/>
    <w:pPr>
      <w:tabs>
        <w:tab w:val="decimal" w:pos="360"/>
      </w:tabs>
    </w:pPr>
    <w:rPr>
      <w:lang w:val="en-US"/>
    </w:rPr>
  </w:style>
  <w:style w:type="paragraph" w:styleId="FootnoteText">
    <w:name w:val="footnote text"/>
    <w:basedOn w:val="Normal"/>
    <w:link w:val="FootnoteTextChar"/>
    <w:uiPriority w:val="99"/>
    <w:unhideWhenUsed/>
    <w:rsid w:val="003D34F3"/>
    <w:pPr>
      <w:spacing w:after="0" w:line="240" w:lineRule="auto"/>
    </w:pPr>
    <w:rPr>
      <w:sz w:val="20"/>
      <w:szCs w:val="20"/>
      <w:lang w:val="en-US"/>
    </w:rPr>
  </w:style>
  <w:style w:type="character" w:customStyle="1" w:styleId="FootnoteTextChar">
    <w:name w:val="Footnote Text Char"/>
    <w:link w:val="FootnoteText"/>
    <w:uiPriority w:val="99"/>
    <w:rsid w:val="003D34F3"/>
    <w:rPr>
      <w:rFonts w:eastAsia="Times New Roman"/>
      <w:sz w:val="20"/>
      <w:szCs w:val="20"/>
      <w:lang w:val="en-US"/>
    </w:rPr>
  </w:style>
  <w:style w:type="character" w:styleId="SubtleEmphasis">
    <w:name w:val="Subtle Emphasis"/>
    <w:uiPriority w:val="19"/>
    <w:qFormat/>
    <w:rsid w:val="003D34F3"/>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3D34F3"/>
    <w:rPr>
      <w:color w:val="365F91"/>
      <w:lang w:val="en-US"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PlaceholderText">
    <w:name w:val="Placeholder Text"/>
    <w:uiPriority w:val="99"/>
    <w:semiHidden/>
    <w:rsid w:val="00E936EE"/>
    <w:rPr>
      <w:color w:val="808080"/>
    </w:rPr>
  </w:style>
  <w:style w:type="paragraph" w:styleId="BalloonText">
    <w:name w:val="Balloon Text"/>
    <w:basedOn w:val="Normal"/>
    <w:link w:val="BalloonTextChar"/>
    <w:uiPriority w:val="99"/>
    <w:semiHidden/>
    <w:unhideWhenUsed/>
    <w:rsid w:val="00E936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936EE"/>
    <w:rPr>
      <w:rFonts w:ascii="Tahoma" w:hAnsi="Tahoma" w:cs="Tahoma"/>
      <w:sz w:val="16"/>
      <w:szCs w:val="16"/>
    </w:rPr>
  </w:style>
  <w:style w:type="paragraph" w:styleId="Header">
    <w:name w:val="header"/>
    <w:basedOn w:val="Normal"/>
    <w:link w:val="HeaderChar"/>
    <w:uiPriority w:val="99"/>
    <w:unhideWhenUsed/>
    <w:rsid w:val="003573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3AB"/>
  </w:style>
  <w:style w:type="paragraph" w:styleId="Footer">
    <w:name w:val="footer"/>
    <w:basedOn w:val="Normal"/>
    <w:link w:val="FooterChar"/>
    <w:uiPriority w:val="99"/>
    <w:unhideWhenUsed/>
    <w:rsid w:val="003573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3AB"/>
  </w:style>
  <w:style w:type="table" w:customStyle="1" w:styleId="LightList1">
    <w:name w:val="Light List1"/>
    <w:basedOn w:val="TableNormal"/>
    <w:uiPriority w:val="61"/>
    <w:rsid w:val="00C02472"/>
    <w:rPr>
      <w:lang w:val="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C024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C024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007A5A"/>
    <w:pPr>
      <w:ind w:left="720"/>
      <w:contextualSpacing/>
    </w:pPr>
  </w:style>
  <w:style w:type="paragraph" w:customStyle="1" w:styleId="xy">
    <w:name w:val="xy"/>
    <w:basedOn w:val="Normal"/>
    <w:rsid w:val="008E7710"/>
    <w:pPr>
      <w:spacing w:before="100" w:beforeAutospacing="1" w:after="100" w:afterAutospacing="1" w:line="240" w:lineRule="auto"/>
    </w:pPr>
    <w:rPr>
      <w:rFonts w:ascii="Times New Roman" w:hAnsi="Times New Roman"/>
      <w:sz w:val="24"/>
      <w:szCs w:val="24"/>
    </w:rPr>
  </w:style>
  <w:style w:type="character" w:customStyle="1" w:styleId="xo">
    <w:name w:val="xo"/>
    <w:basedOn w:val="DefaultParagraphFont"/>
    <w:rsid w:val="008E7710"/>
  </w:style>
  <w:style w:type="paragraph" w:customStyle="1" w:styleId="yw">
    <w:name w:val="yw"/>
    <w:basedOn w:val="Normal"/>
    <w:rsid w:val="00113CB7"/>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113CB7"/>
    <w:rPr>
      <w:color w:val="0000FF"/>
      <w:u w:val="single"/>
    </w:rPr>
  </w:style>
  <w:style w:type="character" w:styleId="FollowedHyperlink">
    <w:name w:val="FollowedHyperlink"/>
    <w:uiPriority w:val="99"/>
    <w:semiHidden/>
    <w:unhideWhenUsed/>
    <w:rsid w:val="00A21848"/>
    <w:rPr>
      <w:color w:val="800080"/>
      <w:u w:val="single"/>
    </w:rPr>
  </w:style>
  <w:style w:type="paragraph" w:customStyle="1" w:styleId="ye">
    <w:name w:val="ye"/>
    <w:basedOn w:val="Normal"/>
    <w:rsid w:val="00BF30E8"/>
    <w:pPr>
      <w:spacing w:before="100" w:beforeAutospacing="1" w:after="100" w:afterAutospacing="1" w:line="240" w:lineRule="auto"/>
    </w:pPr>
    <w:rPr>
      <w:rFonts w:ascii="Times New Roman" w:hAnsi="Times New Roman"/>
      <w:sz w:val="24"/>
      <w:szCs w:val="24"/>
    </w:rPr>
  </w:style>
  <w:style w:type="paragraph" w:customStyle="1" w:styleId="ya">
    <w:name w:val="ya"/>
    <w:basedOn w:val="Normal"/>
    <w:rsid w:val="00881574"/>
    <w:pPr>
      <w:spacing w:before="100" w:beforeAutospacing="1" w:after="100" w:afterAutospacing="1" w:line="240" w:lineRule="auto"/>
    </w:pPr>
    <w:rPr>
      <w:rFonts w:ascii="Times New Roman" w:hAnsi="Times New Roman"/>
      <w:sz w:val="24"/>
      <w:szCs w:val="24"/>
    </w:rPr>
  </w:style>
  <w:style w:type="character" w:customStyle="1" w:styleId="xr">
    <w:name w:val="xr"/>
    <w:basedOn w:val="DefaultParagraphFont"/>
    <w:rsid w:val="00881574"/>
  </w:style>
  <w:style w:type="paragraph" w:customStyle="1" w:styleId="er">
    <w:name w:val="er"/>
    <w:basedOn w:val="Normal"/>
    <w:rsid w:val="00B571E7"/>
    <w:pPr>
      <w:spacing w:after="0" w:line="240" w:lineRule="auto"/>
    </w:pPr>
    <w:rPr>
      <w:rFonts w:ascii="Arial" w:hAnsi="Arial" w:cs="Arial"/>
      <w:b/>
      <w:bCs/>
      <w:color w:val="63666A"/>
      <w:sz w:val="20"/>
      <w:szCs w:val="20"/>
    </w:rPr>
  </w:style>
  <w:style w:type="character" w:customStyle="1" w:styleId="dw">
    <w:name w:val="dw"/>
    <w:basedOn w:val="DefaultParagraphFont"/>
    <w:rsid w:val="00B571E7"/>
    <w:rPr>
      <w:color w:val="auto"/>
      <w:sz w:val="18"/>
      <w:szCs w:val="18"/>
    </w:rPr>
  </w:style>
  <w:style w:type="paragraph" w:styleId="NormalIndent">
    <w:name w:val="Normal Indent"/>
    <w:basedOn w:val="Normal"/>
    <w:rsid w:val="00014EF0"/>
    <w:pPr>
      <w:spacing w:after="240" w:line="240" w:lineRule="auto"/>
      <w:ind w:left="709"/>
      <w:jc w:val="both"/>
    </w:pPr>
    <w:rPr>
      <w:rFonts w:ascii="Times New Roman" w:hAnsi="Times New Roman"/>
      <w:sz w:val="24"/>
      <w:szCs w:val="20"/>
    </w:rPr>
  </w:style>
  <w:style w:type="paragraph" w:customStyle="1" w:styleId="bm">
    <w:name w:val="bm"/>
    <w:basedOn w:val="Normal"/>
    <w:rsid w:val="004F16DE"/>
    <w:pPr>
      <w:spacing w:before="100" w:beforeAutospacing="1" w:after="100" w:afterAutospacing="1" w:line="240" w:lineRule="auto"/>
    </w:pPr>
    <w:rPr>
      <w:rFonts w:ascii="Times New Roman" w:hAnsi="Times New Roman"/>
      <w:sz w:val="24"/>
      <w:szCs w:val="24"/>
    </w:rPr>
  </w:style>
  <w:style w:type="character" w:styleId="CommentReference">
    <w:name w:val="annotation reference"/>
    <w:basedOn w:val="DefaultParagraphFont"/>
    <w:uiPriority w:val="99"/>
    <w:semiHidden/>
    <w:unhideWhenUsed/>
    <w:rsid w:val="007D0F37"/>
    <w:rPr>
      <w:sz w:val="16"/>
      <w:szCs w:val="16"/>
    </w:rPr>
  </w:style>
  <w:style w:type="paragraph" w:styleId="CommentText">
    <w:name w:val="annotation text"/>
    <w:basedOn w:val="Normal"/>
    <w:link w:val="CommentTextChar"/>
    <w:uiPriority w:val="99"/>
    <w:unhideWhenUsed/>
    <w:rsid w:val="007D0F37"/>
    <w:pPr>
      <w:spacing w:line="240" w:lineRule="auto"/>
    </w:pPr>
    <w:rPr>
      <w:sz w:val="20"/>
      <w:szCs w:val="20"/>
    </w:rPr>
  </w:style>
  <w:style w:type="character" w:customStyle="1" w:styleId="CommentTextChar">
    <w:name w:val="Comment Text Char"/>
    <w:basedOn w:val="DefaultParagraphFont"/>
    <w:link w:val="CommentText"/>
    <w:uiPriority w:val="99"/>
    <w:rsid w:val="007D0F37"/>
  </w:style>
  <w:style w:type="paragraph" w:styleId="CommentSubject">
    <w:name w:val="annotation subject"/>
    <w:basedOn w:val="CommentText"/>
    <w:next w:val="CommentText"/>
    <w:link w:val="CommentSubjectChar"/>
    <w:uiPriority w:val="99"/>
    <w:semiHidden/>
    <w:unhideWhenUsed/>
    <w:rsid w:val="007D0F37"/>
    <w:rPr>
      <w:b/>
      <w:bCs/>
    </w:rPr>
  </w:style>
  <w:style w:type="character" w:customStyle="1" w:styleId="CommentSubjectChar">
    <w:name w:val="Comment Subject Char"/>
    <w:basedOn w:val="CommentTextChar"/>
    <w:link w:val="CommentSubject"/>
    <w:uiPriority w:val="99"/>
    <w:semiHidden/>
    <w:rsid w:val="007D0F37"/>
    <w:rPr>
      <w:b/>
      <w:bCs/>
    </w:rPr>
  </w:style>
  <w:style w:type="paragraph" w:customStyle="1" w:styleId="TableBody">
    <w:name w:val="Table Body"/>
    <w:basedOn w:val="Normal"/>
    <w:link w:val="TableBodyChar"/>
    <w:qFormat/>
    <w:rsid w:val="00EC515F"/>
    <w:pPr>
      <w:spacing w:after="0" w:line="300" w:lineRule="auto"/>
      <w:ind w:left="-57" w:right="-51"/>
      <w:jc w:val="center"/>
    </w:pPr>
    <w:rPr>
      <w:rFonts w:ascii="Arial" w:eastAsia="MS Mincho" w:hAnsi="Arial"/>
      <w:color w:val="7F7F7F"/>
      <w:sz w:val="20"/>
      <w:szCs w:val="24"/>
      <w:lang w:val="x-none" w:eastAsia="x-none"/>
    </w:rPr>
  </w:style>
  <w:style w:type="character" w:customStyle="1" w:styleId="TableBodyChar">
    <w:name w:val="Table Body Char"/>
    <w:basedOn w:val="DefaultParagraphFont"/>
    <w:link w:val="TableBody"/>
    <w:rsid w:val="00EC515F"/>
    <w:rPr>
      <w:rFonts w:ascii="Arial" w:eastAsia="MS Mincho" w:hAnsi="Arial"/>
      <w:color w:val="7F7F7F"/>
      <w:szCs w:val="24"/>
      <w:lang w:val="x-none" w:eastAsia="x-none"/>
    </w:rPr>
  </w:style>
  <w:style w:type="paragraph" w:customStyle="1" w:styleId="Body">
    <w:name w:val="Body"/>
    <w:basedOn w:val="Normal"/>
    <w:link w:val="BodyChar"/>
    <w:qFormat/>
    <w:rsid w:val="007F1E4A"/>
    <w:pPr>
      <w:spacing w:before="120" w:after="120" w:line="300" w:lineRule="auto"/>
      <w:ind w:left="567"/>
    </w:pPr>
    <w:rPr>
      <w:rFonts w:ascii="Arial" w:eastAsia="MS Mincho" w:hAnsi="Arial"/>
      <w:color w:val="7F7F7F"/>
      <w:sz w:val="20"/>
      <w:szCs w:val="24"/>
      <w:lang w:val="x-none" w:eastAsia="x-none"/>
    </w:rPr>
  </w:style>
  <w:style w:type="character" w:customStyle="1" w:styleId="BodyChar">
    <w:name w:val="Body Char"/>
    <w:basedOn w:val="DefaultParagraphFont"/>
    <w:link w:val="Body"/>
    <w:rsid w:val="007F1E4A"/>
    <w:rPr>
      <w:rFonts w:ascii="Arial" w:eastAsia="MS Mincho" w:hAnsi="Arial"/>
      <w:color w:val="7F7F7F"/>
      <w:szCs w:val="24"/>
      <w:lang w:val="x-none" w:eastAsia="x-none"/>
    </w:rPr>
  </w:style>
  <w:style w:type="paragraph" w:customStyle="1" w:styleId="ma">
    <w:name w:val="ma"/>
    <w:basedOn w:val="Normal"/>
    <w:rsid w:val="00C453D7"/>
    <w:pPr>
      <w:spacing w:before="100" w:beforeAutospacing="1" w:after="100" w:afterAutospacing="1" w:line="240" w:lineRule="auto"/>
    </w:pPr>
    <w:rPr>
      <w:rFonts w:ascii="Times New Roman" w:hAnsi="Times New Roman"/>
      <w:sz w:val="24"/>
      <w:szCs w:val="24"/>
    </w:rPr>
  </w:style>
  <w:style w:type="character" w:customStyle="1" w:styleId="lx">
    <w:name w:val="lx"/>
    <w:basedOn w:val="DefaultParagraphFont"/>
    <w:rsid w:val="00C453D7"/>
  </w:style>
  <w:style w:type="paragraph" w:customStyle="1" w:styleId="bp">
    <w:name w:val="bp"/>
    <w:basedOn w:val="Normal"/>
    <w:rsid w:val="00C453D7"/>
    <w:pPr>
      <w:spacing w:before="100" w:beforeAutospacing="1" w:after="100" w:afterAutospacing="1" w:line="240" w:lineRule="auto"/>
    </w:pPr>
    <w:rPr>
      <w:rFonts w:ascii="Times New Roman" w:hAnsi="Times New Roman"/>
      <w:sz w:val="24"/>
      <w:szCs w:val="24"/>
    </w:rPr>
  </w:style>
  <w:style w:type="character" w:customStyle="1" w:styleId="t">
    <w:name w:val="t"/>
    <w:basedOn w:val="DefaultParagraphFont"/>
    <w:rsid w:val="00C453D7"/>
  </w:style>
  <w:style w:type="paragraph" w:customStyle="1" w:styleId="yiv2117869927s6">
    <w:name w:val="yiv2117869927s6"/>
    <w:basedOn w:val="Normal"/>
    <w:uiPriority w:val="99"/>
    <w:semiHidden/>
    <w:rsid w:val="00C453D7"/>
    <w:pPr>
      <w:spacing w:before="100" w:beforeAutospacing="1" w:after="100" w:afterAutospacing="1" w:line="240" w:lineRule="auto"/>
    </w:pPr>
    <w:rPr>
      <w:rFonts w:eastAsiaTheme="minorEastAsia" w:cs="Calibri"/>
    </w:rPr>
  </w:style>
  <w:style w:type="paragraph" w:customStyle="1" w:styleId="yiv2117869927s7">
    <w:name w:val="yiv2117869927s7"/>
    <w:basedOn w:val="Normal"/>
    <w:uiPriority w:val="99"/>
    <w:semiHidden/>
    <w:rsid w:val="00C453D7"/>
    <w:pPr>
      <w:spacing w:before="100" w:beforeAutospacing="1" w:after="100" w:afterAutospacing="1" w:line="240" w:lineRule="auto"/>
    </w:pPr>
    <w:rPr>
      <w:rFonts w:eastAsiaTheme="minorEastAsia" w:cs="Calibri"/>
    </w:rPr>
  </w:style>
  <w:style w:type="character" w:customStyle="1" w:styleId="yiv2117869927s5">
    <w:name w:val="yiv2117869927s5"/>
    <w:basedOn w:val="DefaultParagraphFont"/>
    <w:rsid w:val="00C453D7"/>
  </w:style>
  <w:style w:type="paragraph" w:styleId="Revision">
    <w:name w:val="Revision"/>
    <w:hidden/>
    <w:uiPriority w:val="99"/>
    <w:semiHidden/>
    <w:rsid w:val="00F4091B"/>
    <w:rPr>
      <w:sz w:val="22"/>
      <w:szCs w:val="22"/>
    </w:rPr>
  </w:style>
  <w:style w:type="paragraph" w:styleId="NormalWeb">
    <w:name w:val="Normal (Web)"/>
    <w:basedOn w:val="Normal"/>
    <w:uiPriority w:val="99"/>
    <w:unhideWhenUsed/>
    <w:rsid w:val="00154592"/>
    <w:pPr>
      <w:spacing w:before="100" w:beforeAutospacing="1" w:after="100" w:afterAutospacing="1" w:line="240" w:lineRule="auto"/>
    </w:pPr>
    <w:rPr>
      <w:rFonts w:eastAsiaTheme="minorEastAsia" w:cs="Calibri"/>
    </w:rPr>
  </w:style>
  <w:style w:type="paragraph" w:customStyle="1" w:styleId="m">
    <w:name w:val="m"/>
    <w:basedOn w:val="Normal"/>
    <w:rsid w:val="00154592"/>
    <w:pPr>
      <w:spacing w:before="100" w:beforeAutospacing="1" w:after="100" w:afterAutospacing="1" w:line="240" w:lineRule="auto"/>
    </w:pPr>
    <w:rPr>
      <w:rFonts w:eastAsiaTheme="minorHAnsi"/>
    </w:rPr>
  </w:style>
  <w:style w:type="character" w:customStyle="1" w:styleId="ak">
    <w:name w:val="ak"/>
    <w:basedOn w:val="DefaultParagraphFont"/>
    <w:rsid w:val="00154592"/>
    <w:rPr>
      <w:rFonts w:ascii="Calibri" w:hAnsi="Calibri" w:cs="Calibri" w:hint="default"/>
    </w:rPr>
  </w:style>
  <w:style w:type="character" w:customStyle="1" w:styleId="xn-money">
    <w:name w:val="xn-money"/>
    <w:basedOn w:val="DefaultParagraphFont"/>
    <w:rsid w:val="00B86FD6"/>
  </w:style>
  <w:style w:type="character" w:customStyle="1" w:styleId="mz">
    <w:name w:val="mz"/>
    <w:basedOn w:val="DefaultParagraphFont"/>
    <w:rsid w:val="00B86FD6"/>
    <w:rPr>
      <w:color w:val="000000"/>
    </w:rPr>
  </w:style>
  <w:style w:type="paragraph" w:customStyle="1" w:styleId="Default">
    <w:name w:val="Default"/>
    <w:rsid w:val="00F44BC0"/>
    <w:pPr>
      <w:autoSpaceDE w:val="0"/>
      <w:autoSpaceDN w:val="0"/>
      <w:adjustRightInd w:val="0"/>
    </w:pPr>
    <w:rPr>
      <w:rFonts w:ascii="TESCO Modern" w:hAnsi="TESCO Modern" w:cs="TESCO Modern"/>
      <w:color w:val="000000"/>
      <w:sz w:val="24"/>
      <w:szCs w:val="24"/>
    </w:rPr>
  </w:style>
  <w:style w:type="character" w:customStyle="1" w:styleId="yiv2117869927bumpedfont15">
    <w:name w:val="yiv2117869927bumpedfont15"/>
    <w:basedOn w:val="DefaultParagraphFont"/>
    <w:rsid w:val="00A96681"/>
  </w:style>
  <w:style w:type="paragraph" w:customStyle="1" w:styleId="BodyBullets">
    <w:name w:val="Body Bullets"/>
    <w:basedOn w:val="Normal"/>
    <w:qFormat/>
    <w:rsid w:val="0047121F"/>
    <w:pPr>
      <w:numPr>
        <w:numId w:val="61"/>
      </w:numPr>
      <w:spacing w:before="120" w:after="120" w:line="300" w:lineRule="auto"/>
    </w:pPr>
    <w:rPr>
      <w:rFonts w:ascii="Arial" w:eastAsia="MS Mincho" w:hAnsi="Arial"/>
      <w:color w:val="7F7F7F"/>
      <w:sz w:val="20"/>
      <w:szCs w:val="24"/>
      <w:lang w:val="x-none" w:eastAsia="x-none"/>
    </w:rPr>
  </w:style>
  <w:style w:type="paragraph" w:customStyle="1" w:styleId="Headings">
    <w:name w:val="Headings"/>
    <w:basedOn w:val="Normal"/>
    <w:link w:val="HeadingsChar"/>
    <w:qFormat/>
    <w:rsid w:val="00CC7A30"/>
    <w:pPr>
      <w:spacing w:before="120" w:after="240" w:line="240" w:lineRule="auto"/>
      <w:ind w:left="567"/>
    </w:pPr>
    <w:rPr>
      <w:rFonts w:ascii="Arial" w:eastAsia="MS Mincho" w:hAnsi="Arial"/>
      <w:b/>
      <w:color w:val="7F7F7F"/>
      <w:sz w:val="28"/>
      <w:szCs w:val="24"/>
      <w:lang w:val="x-none" w:eastAsia="x-none"/>
    </w:rPr>
  </w:style>
  <w:style w:type="character" w:customStyle="1" w:styleId="HeadingsChar">
    <w:name w:val="Headings Char"/>
    <w:link w:val="Headings"/>
    <w:rsid w:val="00CC7A30"/>
    <w:rPr>
      <w:rFonts w:ascii="Arial" w:eastAsia="MS Mincho" w:hAnsi="Arial"/>
      <w:b/>
      <w:color w:val="7F7F7F"/>
      <w:sz w:val="28"/>
      <w:szCs w:val="24"/>
      <w:lang w:val="x-none" w:eastAsia="x-none"/>
    </w:rPr>
  </w:style>
  <w:style w:type="paragraph" w:customStyle="1" w:styleId="TableHeading">
    <w:name w:val="Table Heading"/>
    <w:basedOn w:val="Normal"/>
    <w:qFormat/>
    <w:rsid w:val="00CC7A30"/>
    <w:pPr>
      <w:spacing w:after="0" w:line="240" w:lineRule="auto"/>
      <w:ind w:left="567"/>
      <w:jc w:val="center"/>
    </w:pPr>
    <w:rPr>
      <w:rFonts w:ascii="Arial" w:eastAsia="MS Mincho" w:hAnsi="Arial"/>
      <w:b/>
      <w:color w:val="7F7F7F"/>
      <w:sz w:val="24"/>
      <w:szCs w:val="24"/>
      <w:lang w:val="x-none" w:eastAsia="x-none"/>
    </w:rPr>
  </w:style>
  <w:style w:type="character" w:customStyle="1" w:styleId="SubtleEmphasis1">
    <w:name w:val="Subtle Emphasis1"/>
    <w:uiPriority w:val="19"/>
    <w:qFormat/>
    <w:rsid w:val="00CC7A30"/>
    <w:rPr>
      <w:rFonts w:eastAsia="Times New Roman" w:cs="Times New Roman"/>
      <w:bCs w:val="0"/>
      <w:i/>
      <w:iCs/>
      <w:color w:val="808080"/>
      <w:szCs w:val="22"/>
      <w:lang w:val="en-US"/>
    </w:rPr>
  </w:style>
  <w:style w:type="paragraph" w:customStyle="1" w:styleId="ahp">
    <w:name w:val="ahp"/>
    <w:basedOn w:val="Normal"/>
    <w:rsid w:val="00BD0800"/>
    <w:pPr>
      <w:spacing w:before="100" w:beforeAutospacing="1" w:after="100" w:afterAutospacing="1" w:line="240" w:lineRule="auto"/>
    </w:pPr>
    <w:rPr>
      <w:rFonts w:ascii="Times New Roman" w:hAnsi="Times New Roman"/>
      <w:sz w:val="24"/>
      <w:szCs w:val="24"/>
    </w:rPr>
  </w:style>
  <w:style w:type="character" w:customStyle="1" w:styleId="agx">
    <w:name w:val="agx"/>
    <w:basedOn w:val="DefaultParagraphFont"/>
    <w:rsid w:val="00BD0800"/>
  </w:style>
  <w:style w:type="paragraph" w:customStyle="1" w:styleId="bg">
    <w:name w:val="bg"/>
    <w:basedOn w:val="Normal"/>
    <w:rsid w:val="00BD0800"/>
    <w:pPr>
      <w:spacing w:before="100" w:beforeAutospacing="1" w:after="100" w:afterAutospacing="1" w:line="240" w:lineRule="auto"/>
    </w:pPr>
    <w:rPr>
      <w:rFonts w:ascii="Times New Roman" w:hAnsi="Times New Roman"/>
      <w:sz w:val="24"/>
      <w:szCs w:val="24"/>
    </w:rPr>
  </w:style>
  <w:style w:type="character" w:customStyle="1" w:styleId="as">
    <w:name w:val="as"/>
    <w:basedOn w:val="DefaultParagraphFont"/>
    <w:rsid w:val="00BD0800"/>
  </w:style>
  <w:style w:type="paragraph" w:customStyle="1" w:styleId="bo">
    <w:name w:val="bo"/>
    <w:basedOn w:val="Normal"/>
    <w:rsid w:val="00BD0800"/>
    <w:pPr>
      <w:spacing w:before="100" w:beforeAutospacing="1" w:after="100" w:afterAutospacing="1" w:line="240" w:lineRule="auto"/>
    </w:pPr>
    <w:rPr>
      <w:rFonts w:ascii="Times New Roman" w:hAnsi="Times New Roman"/>
      <w:sz w:val="24"/>
      <w:szCs w:val="24"/>
    </w:rPr>
  </w:style>
  <w:style w:type="paragraph" w:customStyle="1" w:styleId="bt">
    <w:name w:val="bt"/>
    <w:basedOn w:val="Normal"/>
    <w:rsid w:val="00243A3F"/>
    <w:pPr>
      <w:spacing w:before="100" w:beforeAutospacing="1" w:after="100" w:afterAutospacing="1" w:line="240" w:lineRule="auto"/>
    </w:pPr>
    <w:rPr>
      <w:rFonts w:ascii="Times New Roman" w:hAnsi="Times New Roman"/>
      <w:sz w:val="24"/>
      <w:szCs w:val="24"/>
    </w:rPr>
  </w:style>
  <w:style w:type="paragraph" w:customStyle="1" w:styleId="to">
    <w:name w:val="to"/>
    <w:basedOn w:val="Normal"/>
    <w:rsid w:val="00243A3F"/>
    <w:pPr>
      <w:spacing w:before="100" w:beforeAutospacing="1" w:after="100" w:afterAutospacing="1" w:line="240" w:lineRule="auto"/>
    </w:pPr>
    <w:rPr>
      <w:rFonts w:ascii="Times New Roman" w:hAnsi="Times New Roman"/>
      <w:sz w:val="24"/>
      <w:szCs w:val="24"/>
    </w:rPr>
  </w:style>
  <w:style w:type="character" w:customStyle="1" w:styleId="qz">
    <w:name w:val="qz"/>
    <w:basedOn w:val="DefaultParagraphFont"/>
    <w:rsid w:val="00243A3F"/>
  </w:style>
  <w:style w:type="character" w:customStyle="1" w:styleId="bn">
    <w:name w:val="bn"/>
    <w:basedOn w:val="DefaultParagraphFont"/>
    <w:rsid w:val="00243A3F"/>
  </w:style>
  <w:style w:type="paragraph" w:customStyle="1" w:styleId="s3">
    <w:name w:val="s3"/>
    <w:basedOn w:val="Normal"/>
    <w:rsid w:val="003D21AD"/>
    <w:pPr>
      <w:spacing w:before="100" w:beforeAutospacing="1" w:after="100" w:afterAutospacing="1" w:line="240" w:lineRule="auto"/>
    </w:pPr>
    <w:rPr>
      <w:rFonts w:eastAsiaTheme="minorHAnsi" w:cs="Calibri"/>
    </w:rPr>
  </w:style>
  <w:style w:type="character" w:customStyle="1" w:styleId="bumpedfont20">
    <w:name w:val="bumpedfont20"/>
    <w:basedOn w:val="DefaultParagraphFont"/>
    <w:rsid w:val="003D2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3919">
      <w:bodyDiv w:val="1"/>
      <w:marLeft w:val="0"/>
      <w:marRight w:val="0"/>
      <w:marTop w:val="0"/>
      <w:marBottom w:val="0"/>
      <w:divBdr>
        <w:top w:val="none" w:sz="0" w:space="0" w:color="auto"/>
        <w:left w:val="none" w:sz="0" w:space="0" w:color="auto"/>
        <w:bottom w:val="none" w:sz="0" w:space="0" w:color="auto"/>
        <w:right w:val="none" w:sz="0" w:space="0" w:color="auto"/>
      </w:divBdr>
    </w:div>
    <w:div w:id="221907821">
      <w:bodyDiv w:val="1"/>
      <w:marLeft w:val="0"/>
      <w:marRight w:val="0"/>
      <w:marTop w:val="0"/>
      <w:marBottom w:val="0"/>
      <w:divBdr>
        <w:top w:val="none" w:sz="0" w:space="0" w:color="auto"/>
        <w:left w:val="none" w:sz="0" w:space="0" w:color="auto"/>
        <w:bottom w:val="none" w:sz="0" w:space="0" w:color="auto"/>
        <w:right w:val="none" w:sz="0" w:space="0" w:color="auto"/>
      </w:divBdr>
    </w:div>
    <w:div w:id="229384881">
      <w:bodyDiv w:val="1"/>
      <w:marLeft w:val="0"/>
      <w:marRight w:val="0"/>
      <w:marTop w:val="0"/>
      <w:marBottom w:val="0"/>
      <w:divBdr>
        <w:top w:val="none" w:sz="0" w:space="0" w:color="auto"/>
        <w:left w:val="none" w:sz="0" w:space="0" w:color="auto"/>
        <w:bottom w:val="none" w:sz="0" w:space="0" w:color="auto"/>
        <w:right w:val="none" w:sz="0" w:space="0" w:color="auto"/>
      </w:divBdr>
    </w:div>
    <w:div w:id="229770454">
      <w:bodyDiv w:val="1"/>
      <w:marLeft w:val="0"/>
      <w:marRight w:val="0"/>
      <w:marTop w:val="0"/>
      <w:marBottom w:val="0"/>
      <w:divBdr>
        <w:top w:val="none" w:sz="0" w:space="0" w:color="auto"/>
        <w:left w:val="none" w:sz="0" w:space="0" w:color="auto"/>
        <w:bottom w:val="none" w:sz="0" w:space="0" w:color="auto"/>
        <w:right w:val="none" w:sz="0" w:space="0" w:color="auto"/>
      </w:divBdr>
    </w:div>
    <w:div w:id="239797289">
      <w:bodyDiv w:val="1"/>
      <w:marLeft w:val="0"/>
      <w:marRight w:val="0"/>
      <w:marTop w:val="0"/>
      <w:marBottom w:val="0"/>
      <w:divBdr>
        <w:top w:val="none" w:sz="0" w:space="0" w:color="auto"/>
        <w:left w:val="none" w:sz="0" w:space="0" w:color="auto"/>
        <w:bottom w:val="none" w:sz="0" w:space="0" w:color="auto"/>
        <w:right w:val="none" w:sz="0" w:space="0" w:color="auto"/>
      </w:divBdr>
    </w:div>
    <w:div w:id="519585961">
      <w:bodyDiv w:val="1"/>
      <w:marLeft w:val="0"/>
      <w:marRight w:val="0"/>
      <w:marTop w:val="0"/>
      <w:marBottom w:val="0"/>
      <w:divBdr>
        <w:top w:val="none" w:sz="0" w:space="0" w:color="auto"/>
        <w:left w:val="none" w:sz="0" w:space="0" w:color="auto"/>
        <w:bottom w:val="none" w:sz="0" w:space="0" w:color="auto"/>
        <w:right w:val="none" w:sz="0" w:space="0" w:color="auto"/>
      </w:divBdr>
    </w:div>
    <w:div w:id="790443316">
      <w:bodyDiv w:val="1"/>
      <w:marLeft w:val="0"/>
      <w:marRight w:val="0"/>
      <w:marTop w:val="0"/>
      <w:marBottom w:val="0"/>
      <w:divBdr>
        <w:top w:val="none" w:sz="0" w:space="0" w:color="auto"/>
        <w:left w:val="none" w:sz="0" w:space="0" w:color="auto"/>
        <w:bottom w:val="none" w:sz="0" w:space="0" w:color="auto"/>
        <w:right w:val="none" w:sz="0" w:space="0" w:color="auto"/>
      </w:divBdr>
    </w:div>
    <w:div w:id="900402897">
      <w:bodyDiv w:val="1"/>
      <w:marLeft w:val="0"/>
      <w:marRight w:val="0"/>
      <w:marTop w:val="0"/>
      <w:marBottom w:val="0"/>
      <w:divBdr>
        <w:top w:val="none" w:sz="0" w:space="0" w:color="auto"/>
        <w:left w:val="none" w:sz="0" w:space="0" w:color="auto"/>
        <w:bottom w:val="none" w:sz="0" w:space="0" w:color="auto"/>
        <w:right w:val="none" w:sz="0" w:space="0" w:color="auto"/>
      </w:divBdr>
    </w:div>
    <w:div w:id="923762469">
      <w:bodyDiv w:val="1"/>
      <w:marLeft w:val="0"/>
      <w:marRight w:val="0"/>
      <w:marTop w:val="0"/>
      <w:marBottom w:val="0"/>
      <w:divBdr>
        <w:top w:val="none" w:sz="0" w:space="0" w:color="auto"/>
        <w:left w:val="none" w:sz="0" w:space="0" w:color="auto"/>
        <w:bottom w:val="none" w:sz="0" w:space="0" w:color="auto"/>
        <w:right w:val="none" w:sz="0" w:space="0" w:color="auto"/>
      </w:divBdr>
    </w:div>
    <w:div w:id="1182934662">
      <w:bodyDiv w:val="1"/>
      <w:marLeft w:val="0"/>
      <w:marRight w:val="0"/>
      <w:marTop w:val="0"/>
      <w:marBottom w:val="0"/>
      <w:divBdr>
        <w:top w:val="none" w:sz="0" w:space="0" w:color="auto"/>
        <w:left w:val="none" w:sz="0" w:space="0" w:color="auto"/>
        <w:bottom w:val="none" w:sz="0" w:space="0" w:color="auto"/>
        <w:right w:val="none" w:sz="0" w:space="0" w:color="auto"/>
      </w:divBdr>
    </w:div>
    <w:div w:id="1184199435">
      <w:bodyDiv w:val="1"/>
      <w:marLeft w:val="0"/>
      <w:marRight w:val="0"/>
      <w:marTop w:val="0"/>
      <w:marBottom w:val="0"/>
      <w:divBdr>
        <w:top w:val="none" w:sz="0" w:space="0" w:color="auto"/>
        <w:left w:val="none" w:sz="0" w:space="0" w:color="auto"/>
        <w:bottom w:val="none" w:sz="0" w:space="0" w:color="auto"/>
        <w:right w:val="none" w:sz="0" w:space="0" w:color="auto"/>
      </w:divBdr>
      <w:divsChild>
        <w:div w:id="975112024">
          <w:marLeft w:val="0"/>
          <w:marRight w:val="0"/>
          <w:marTop w:val="0"/>
          <w:marBottom w:val="0"/>
          <w:divBdr>
            <w:top w:val="none" w:sz="0" w:space="0" w:color="auto"/>
            <w:left w:val="none" w:sz="0" w:space="0" w:color="auto"/>
            <w:bottom w:val="none" w:sz="0" w:space="0" w:color="auto"/>
            <w:right w:val="none" w:sz="0" w:space="0" w:color="auto"/>
          </w:divBdr>
          <w:divsChild>
            <w:div w:id="16027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3853">
      <w:bodyDiv w:val="1"/>
      <w:marLeft w:val="0"/>
      <w:marRight w:val="0"/>
      <w:marTop w:val="0"/>
      <w:marBottom w:val="0"/>
      <w:divBdr>
        <w:top w:val="none" w:sz="0" w:space="0" w:color="auto"/>
        <w:left w:val="none" w:sz="0" w:space="0" w:color="auto"/>
        <w:bottom w:val="none" w:sz="0" w:space="0" w:color="auto"/>
        <w:right w:val="none" w:sz="0" w:space="0" w:color="auto"/>
      </w:divBdr>
    </w:div>
    <w:div w:id="1847212844">
      <w:bodyDiv w:val="1"/>
      <w:marLeft w:val="0"/>
      <w:marRight w:val="0"/>
      <w:marTop w:val="0"/>
      <w:marBottom w:val="0"/>
      <w:divBdr>
        <w:top w:val="none" w:sz="0" w:space="0" w:color="auto"/>
        <w:left w:val="none" w:sz="0" w:space="0" w:color="auto"/>
        <w:bottom w:val="none" w:sz="0" w:space="0" w:color="auto"/>
        <w:right w:val="none" w:sz="0" w:space="0" w:color="auto"/>
      </w:divBdr>
    </w:div>
    <w:div w:id="1889224521">
      <w:bodyDiv w:val="1"/>
      <w:marLeft w:val="0"/>
      <w:marRight w:val="0"/>
      <w:marTop w:val="0"/>
      <w:marBottom w:val="0"/>
      <w:divBdr>
        <w:top w:val="none" w:sz="0" w:space="0" w:color="auto"/>
        <w:left w:val="none" w:sz="0" w:space="0" w:color="auto"/>
        <w:bottom w:val="none" w:sz="0" w:space="0" w:color="auto"/>
        <w:right w:val="none" w:sz="0" w:space="0" w:color="auto"/>
      </w:divBdr>
    </w:div>
    <w:div w:id="1915047748">
      <w:bodyDiv w:val="1"/>
      <w:marLeft w:val="0"/>
      <w:marRight w:val="0"/>
      <w:marTop w:val="0"/>
      <w:marBottom w:val="0"/>
      <w:divBdr>
        <w:top w:val="none" w:sz="0" w:space="0" w:color="auto"/>
        <w:left w:val="none" w:sz="0" w:space="0" w:color="auto"/>
        <w:bottom w:val="none" w:sz="0" w:space="0" w:color="auto"/>
        <w:right w:val="none" w:sz="0" w:space="0" w:color="auto"/>
      </w:divBdr>
    </w:div>
    <w:div w:id="1924102305">
      <w:bodyDiv w:val="1"/>
      <w:marLeft w:val="0"/>
      <w:marRight w:val="0"/>
      <w:marTop w:val="0"/>
      <w:marBottom w:val="0"/>
      <w:divBdr>
        <w:top w:val="none" w:sz="0" w:space="0" w:color="auto"/>
        <w:left w:val="none" w:sz="0" w:space="0" w:color="auto"/>
        <w:bottom w:val="none" w:sz="0" w:space="0" w:color="auto"/>
        <w:right w:val="none" w:sz="0" w:space="0" w:color="auto"/>
      </w:divBdr>
    </w:div>
    <w:div w:id="2027827771">
      <w:bodyDiv w:val="1"/>
      <w:marLeft w:val="0"/>
      <w:marRight w:val="0"/>
      <w:marTop w:val="0"/>
      <w:marBottom w:val="0"/>
      <w:divBdr>
        <w:top w:val="none" w:sz="0" w:space="0" w:color="auto"/>
        <w:left w:val="none" w:sz="0" w:space="0" w:color="auto"/>
        <w:bottom w:val="none" w:sz="0" w:space="0" w:color="auto"/>
        <w:right w:val="none" w:sz="0" w:space="0" w:color="auto"/>
      </w:divBdr>
    </w:div>
    <w:div w:id="207928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pg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jpg@01D93FCA.2E6F2580"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_activity xmlns="abc10fce-7e75-4398-94f4-c698c4be2fb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E0B33FAF1551E44B07E5A3A4F606DBF" ma:contentTypeVersion="15" ma:contentTypeDescription="Create a new document." ma:contentTypeScope="" ma:versionID="f886ba9b1a2ad129ac9f8b589b420dd4">
  <xsd:schema xmlns:xsd="http://www.w3.org/2001/XMLSchema" xmlns:xs="http://www.w3.org/2001/XMLSchema" xmlns:p="http://schemas.microsoft.com/office/2006/metadata/properties" xmlns:ns3="abc10fce-7e75-4398-94f4-c698c4be2fb9" xmlns:ns4="20275fcc-ca22-4033-aeb6-0474625c85f6" targetNamespace="http://schemas.microsoft.com/office/2006/metadata/properties" ma:root="true" ma:fieldsID="ed36672aeac9058dce47c1fa30ef0b11" ns3:_="" ns4:_="">
    <xsd:import namespace="abc10fce-7e75-4398-94f4-c698c4be2fb9"/>
    <xsd:import namespace="20275fcc-ca22-4033-aeb6-0474625c85f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c10fce-7e75-4398-94f4-c698c4be2f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275fcc-ca22-4033-aeb6-0474625c85f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AA968B-D8D8-4129-9E98-0C114FB81475}">
  <ds:schemaRefs>
    <ds:schemaRef ds:uri="http://schemas.openxmlformats.org/officeDocument/2006/bibliography"/>
  </ds:schemaRefs>
</ds:datastoreItem>
</file>

<file path=customXml/itemProps2.xml><?xml version="1.0" encoding="utf-8"?>
<ds:datastoreItem xmlns:ds="http://schemas.openxmlformats.org/officeDocument/2006/customXml" ds:itemID="{E904E1E9-016E-4384-BA42-3573F59C446C}">
  <ds:schemaRefs>
    <ds:schemaRef ds:uri="http://schemas.microsoft.com/office/2006/metadata/properties"/>
    <ds:schemaRef ds:uri="http://schemas.microsoft.com/office/infopath/2007/PartnerControls"/>
    <ds:schemaRef ds:uri="http://www.w3.org/XML/1998/namespace"/>
    <ds:schemaRef ds:uri="http://purl.org/dc/elements/1.1/"/>
    <ds:schemaRef ds:uri="http://purl.org/dc/dcmitype/"/>
    <ds:schemaRef ds:uri="http://schemas.microsoft.com/office/2006/documentManagement/types"/>
    <ds:schemaRef ds:uri="20275fcc-ca22-4033-aeb6-0474625c85f6"/>
    <ds:schemaRef ds:uri="http://schemas.openxmlformats.org/package/2006/metadata/core-properties"/>
    <ds:schemaRef ds:uri="abc10fce-7e75-4398-94f4-c698c4be2fb9"/>
    <ds:schemaRef ds:uri="http://purl.org/dc/terms/"/>
  </ds:schemaRefs>
</ds:datastoreItem>
</file>

<file path=customXml/itemProps3.xml><?xml version="1.0" encoding="utf-8"?>
<ds:datastoreItem xmlns:ds="http://schemas.openxmlformats.org/officeDocument/2006/customXml" ds:itemID="{2CA37DE9-5EEC-4FDC-BCA1-21ECA38B51AB}">
  <ds:schemaRefs>
    <ds:schemaRef ds:uri="http://schemas.microsoft.com/sharepoint/v3/contenttype/forms"/>
  </ds:schemaRefs>
</ds:datastoreItem>
</file>

<file path=customXml/itemProps4.xml><?xml version="1.0" encoding="utf-8"?>
<ds:datastoreItem xmlns:ds="http://schemas.openxmlformats.org/officeDocument/2006/customXml" ds:itemID="{1BEBBF90-5E27-4D23-BFF5-D01281AC9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c10fce-7e75-4398-94f4-c698c4be2fb9"/>
    <ds:schemaRef ds:uri="20275fcc-ca22-4033-aeb6-0474625c85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18</Pages>
  <Words>7785</Words>
  <Characters>44378</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sa.miah</dc:creator>
  <cp:keywords/>
  <cp:lastModifiedBy>Chris Dent</cp:lastModifiedBy>
  <cp:revision>10</cp:revision>
  <cp:lastPrinted>2023-03-17T15:56:00Z</cp:lastPrinted>
  <dcterms:created xsi:type="dcterms:W3CDTF">2023-03-20T10:36:00Z</dcterms:created>
  <dcterms:modified xsi:type="dcterms:W3CDTF">2023-03-28T08:14:00Z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0x0101006E0B33FAF1551E44B07E5A3A4F606DBF</vt:lpwstr>
  </property>
</Properties>
</file>